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5FA37" w14:textId="0A42955C" w:rsidR="004D3B5D" w:rsidRPr="00423439" w:rsidRDefault="00D8450A" w:rsidP="009A3BE8">
      <w:pPr>
        <w:spacing w:line="360" w:lineRule="auto"/>
        <w:rPr>
          <w:rFonts w:ascii="Arial" w:hAnsi="Arial" w:cs="Arial"/>
        </w:rPr>
      </w:pPr>
      <w:r w:rsidRPr="00D8450A">
        <w:rPr>
          <w:rFonts w:ascii="Arial" w:hAnsi="Arial" w:cs="Arial"/>
          <w:noProof/>
          <w:lang w:eastAsia="en-GB"/>
        </w:rPr>
        <mc:AlternateContent>
          <mc:Choice Requires="wps">
            <w:drawing>
              <wp:anchor distT="45720" distB="45720" distL="114300" distR="114300" simplePos="0" relativeHeight="251675648" behindDoc="0" locked="0" layoutInCell="1" allowOverlap="1" wp14:anchorId="33DE1DA8" wp14:editId="5C4AFF87">
                <wp:simplePos x="0" y="0"/>
                <wp:positionH relativeFrom="margin">
                  <wp:posOffset>-203200</wp:posOffset>
                </wp:positionH>
                <wp:positionV relativeFrom="paragraph">
                  <wp:posOffset>33020</wp:posOffset>
                </wp:positionV>
                <wp:extent cx="3814445" cy="1133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133475"/>
                        </a:xfrm>
                        <a:prstGeom prst="rect">
                          <a:avLst/>
                        </a:prstGeom>
                        <a:noFill/>
                        <a:ln w="9525">
                          <a:noFill/>
                          <a:miter lim="800000"/>
                          <a:headEnd/>
                          <a:tailEnd/>
                        </a:ln>
                      </wps:spPr>
                      <wps:txbx>
                        <w:txbxContent>
                          <w:p w14:paraId="1AB1775E" w14:textId="13375FA3" w:rsidR="00D8450A" w:rsidRDefault="00D84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E1DA8" id="_x0000_t202" coordsize="21600,21600" o:spt="202" path="m,l,21600r21600,l21600,xe">
                <v:stroke joinstyle="miter"/>
                <v:path gradientshapeok="t" o:connecttype="rect"/>
              </v:shapetype>
              <v:shape id="Text Box 2" o:spid="_x0000_s1026" type="#_x0000_t202" style="position:absolute;margin-left:-16pt;margin-top:2.6pt;width:300.35pt;height:89.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" filled="f" stroked="f">
                <v:textbox>
                  <w:txbxContent>
                    <w:p w14:paraId="1AB1775E" w14:textId="13375FA3" w:rsidR="00D8450A" w:rsidRDefault="00D8450A"/>
                  </w:txbxContent>
                </v:textbox>
                <w10:wrap type="square" anchorx="margin"/>
              </v:shape>
            </w:pict>
          </mc:Fallback>
        </mc:AlternateContent>
      </w:r>
      <w:r w:rsidR="00423439">
        <w:rPr>
          <w:rFonts w:ascii="Arial" w:hAnsi="Arial" w:cs="Arial"/>
        </w:rPr>
        <w:softHyphen/>
      </w:r>
      <w:r w:rsidR="00423439">
        <w:rPr>
          <w:rFonts w:ascii="Arial" w:hAnsi="Arial" w:cs="Arial"/>
        </w:rPr>
        <w:softHyphen/>
      </w:r>
    </w:p>
    <w:p w14:paraId="420129D6" w14:textId="30179212" w:rsidR="009A3BE8" w:rsidRPr="00423439" w:rsidRDefault="0083208A" w:rsidP="009A3BE8">
      <w:pPr>
        <w:spacing w:line="360" w:lineRule="auto"/>
        <w:rPr>
          <w:rFonts w:ascii="Arial" w:hAnsi="Arial" w:cs="Arial"/>
        </w:rPr>
      </w:pPr>
      <w:r w:rsidRPr="00423439">
        <w:rPr>
          <w:rFonts w:ascii="Arial" w:hAnsi="Arial" w:cs="Arial"/>
          <w:noProof/>
          <w:lang w:eastAsia="en-GB"/>
        </w:rPr>
        <w:drawing>
          <wp:anchor distT="0" distB="0" distL="114300" distR="114300" simplePos="0" relativeHeight="251664383" behindDoc="0" locked="1" layoutInCell="1" allowOverlap="1" wp14:anchorId="49F2A2AB" wp14:editId="56E121D6">
            <wp:simplePos x="0" y="0"/>
            <wp:positionH relativeFrom="column">
              <wp:posOffset>4283075</wp:posOffset>
            </wp:positionH>
            <wp:positionV relativeFrom="page">
              <wp:posOffset>102870</wp:posOffset>
            </wp:positionV>
            <wp:extent cx="2595880" cy="32981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alphaModFix/>
                      <a:extLst>
                        <a:ext uri="{28A0092B-C50C-407E-A947-70E740481C1C}">
                          <a14:useLocalDpi xmlns:a14="http://schemas.microsoft.com/office/drawing/2010/main" val="0"/>
                        </a:ext>
                      </a:extLst>
                    </a:blip>
                    <a:stretch>
                      <a:fillRect/>
                    </a:stretch>
                  </pic:blipFill>
                  <pic:spPr bwMode="auto">
                    <a:xfrm>
                      <a:off x="0" y="0"/>
                      <a:ext cx="2595880" cy="329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52484" w14:textId="77777777" w:rsidR="00891011" w:rsidRDefault="008C203F" w:rsidP="00D8450A">
      <w:pPr>
        <w:pStyle w:val="Header"/>
        <w:tabs>
          <w:tab w:val="right" w:pos="5670"/>
        </w:tabs>
        <w:jc w:val="both"/>
        <w:rPr>
          <w:rFonts w:ascii="Arial" w:hAnsi="Arial" w:cs="Arial"/>
        </w:rPr>
      </w:pPr>
      <w:r>
        <w:rPr>
          <w:rFonts w:ascii="Arial" w:hAnsi="Arial" w:cs="Arial"/>
        </w:rPr>
        <w:softHyphen/>
      </w:r>
    </w:p>
    <w:p w14:paraId="198778BB" w14:textId="77777777" w:rsidR="00891011" w:rsidRDefault="00891011" w:rsidP="00D8450A">
      <w:pPr>
        <w:pStyle w:val="Header"/>
        <w:tabs>
          <w:tab w:val="right" w:pos="5670"/>
        </w:tabs>
        <w:jc w:val="both"/>
        <w:rPr>
          <w:rFonts w:ascii="Arial" w:hAnsi="Arial" w:cs="Arial"/>
        </w:rPr>
      </w:pPr>
    </w:p>
    <w:p w14:paraId="1CD4297D" w14:textId="77777777" w:rsidR="00891011" w:rsidRDefault="00891011" w:rsidP="00D8450A">
      <w:pPr>
        <w:pStyle w:val="Header"/>
        <w:tabs>
          <w:tab w:val="right" w:pos="5670"/>
        </w:tabs>
        <w:jc w:val="both"/>
        <w:rPr>
          <w:rFonts w:ascii="Arial" w:hAnsi="Arial" w:cs="Arial"/>
        </w:rPr>
      </w:pPr>
    </w:p>
    <w:p w14:paraId="7F30D5D1" w14:textId="77777777" w:rsidR="00891011" w:rsidRDefault="00891011" w:rsidP="00D8450A">
      <w:pPr>
        <w:pStyle w:val="Header"/>
        <w:tabs>
          <w:tab w:val="right" w:pos="5670"/>
        </w:tabs>
        <w:jc w:val="both"/>
        <w:rPr>
          <w:rFonts w:ascii="Arial" w:hAnsi="Arial" w:cs="Arial"/>
        </w:rPr>
      </w:pPr>
    </w:p>
    <w:p w14:paraId="0F64358E" w14:textId="77777777" w:rsidR="004F1F91" w:rsidRDefault="004F1F91" w:rsidP="004F1F91">
      <w:pPr>
        <w:pStyle w:val="Header"/>
        <w:tabs>
          <w:tab w:val="right" w:pos="5670"/>
        </w:tabs>
        <w:spacing w:line="440" w:lineRule="exact"/>
        <w:jc w:val="both"/>
        <w:rPr>
          <w:rFonts w:ascii="Arial" w:hAnsi="Arial"/>
          <w:b/>
          <w:color w:val="88B927"/>
          <w:sz w:val="28"/>
        </w:rPr>
      </w:pPr>
    </w:p>
    <w:p w14:paraId="659CC9EE" w14:textId="5DEB2892" w:rsidR="00D8450A" w:rsidRDefault="00D8450A" w:rsidP="00D8450A">
      <w:pPr>
        <w:pStyle w:val="Header"/>
        <w:tabs>
          <w:tab w:val="right" w:pos="5670"/>
        </w:tabs>
        <w:jc w:val="both"/>
        <w:rPr>
          <w:rFonts w:ascii="Arial" w:hAnsi="Arial"/>
          <w:b/>
          <w:color w:val="00FFFF"/>
          <w:sz w:val="28"/>
        </w:rPr>
      </w:pPr>
      <w:r w:rsidRPr="00D8450A">
        <w:rPr>
          <w:rFonts w:ascii="Arial" w:hAnsi="Arial"/>
          <w:b/>
          <w:color w:val="88B927"/>
          <w:sz w:val="28"/>
        </w:rPr>
        <w:sym w:font="Wingdings 3" w:char="F084"/>
      </w:r>
      <w:r>
        <w:rPr>
          <w:rFonts w:ascii="Arial" w:hAnsi="Arial"/>
          <w:b/>
          <w:color w:val="00FFFF"/>
          <w:sz w:val="28"/>
        </w:rPr>
        <w:tab/>
      </w:r>
      <w:r w:rsidR="00891011">
        <w:rPr>
          <w:rFonts w:ascii="Arial" w:hAnsi="Arial"/>
          <w:b/>
          <w:color w:val="00FFFF"/>
          <w:sz w:val="28"/>
        </w:rPr>
        <w:tab/>
      </w:r>
      <w:r w:rsidRPr="00D8450A">
        <w:rPr>
          <w:rFonts w:ascii="Arial" w:hAnsi="Arial"/>
          <w:b/>
          <w:color w:val="88B927"/>
          <w:sz w:val="28"/>
        </w:rPr>
        <w:sym w:font="Wingdings 3" w:char="F083"/>
      </w:r>
    </w:p>
    <w:p w14:paraId="4AA33951" w14:textId="77777777" w:rsidR="00754F09" w:rsidRPr="00130A66" w:rsidRDefault="00754F09" w:rsidP="00754F09">
      <w:pPr>
        <w:autoSpaceDE w:val="0"/>
        <w:autoSpaceDN w:val="0"/>
        <w:adjustRightInd w:val="0"/>
        <w:jc w:val="both"/>
        <w:rPr>
          <w:rFonts w:ascii="Arial" w:hAnsi="Arial" w:cs="Arial"/>
          <w:color w:val="000000"/>
          <w:sz w:val="22"/>
          <w:szCs w:val="22"/>
        </w:rPr>
      </w:pPr>
      <w:r w:rsidRPr="00130A66">
        <w:rPr>
          <w:rFonts w:ascii="Arial" w:hAnsi="Arial" w:cs="Arial"/>
          <w:color w:val="000000"/>
          <w:sz w:val="22"/>
          <w:szCs w:val="22"/>
        </w:rPr>
        <w:t>Grant Thornton UK LLP</w:t>
      </w:r>
    </w:p>
    <w:p w14:paraId="14E13766" w14:textId="77777777" w:rsidR="00130A66" w:rsidRPr="00130A66" w:rsidRDefault="00130A66" w:rsidP="00130A66">
      <w:pPr>
        <w:rPr>
          <w:rFonts w:ascii="Arial" w:hAnsi="Arial" w:cs="Arial"/>
          <w:noProof/>
          <w:sz w:val="22"/>
          <w:szCs w:val="22"/>
        </w:rPr>
      </w:pPr>
      <w:r w:rsidRPr="00130A66">
        <w:rPr>
          <w:rFonts w:ascii="Arial" w:hAnsi="Arial" w:cs="Arial"/>
          <w:noProof/>
          <w:sz w:val="22"/>
          <w:szCs w:val="22"/>
        </w:rPr>
        <w:t>Royal Liver Building</w:t>
      </w:r>
    </w:p>
    <w:p w14:paraId="1F16FA3B" w14:textId="77777777" w:rsidR="00130A66" w:rsidRPr="00130A66" w:rsidRDefault="00130A66" w:rsidP="00130A66">
      <w:pPr>
        <w:rPr>
          <w:rFonts w:ascii="Arial" w:hAnsi="Arial" w:cs="Arial"/>
          <w:noProof/>
          <w:sz w:val="22"/>
          <w:szCs w:val="22"/>
        </w:rPr>
      </w:pPr>
      <w:r w:rsidRPr="00130A66">
        <w:rPr>
          <w:rFonts w:ascii="Arial" w:hAnsi="Arial" w:cs="Arial"/>
          <w:noProof/>
          <w:sz w:val="22"/>
          <w:szCs w:val="22"/>
        </w:rPr>
        <w:t xml:space="preserve">Liverpool </w:t>
      </w:r>
      <w:r w:rsidRPr="00130A66">
        <w:rPr>
          <w:rFonts w:ascii="Arial" w:hAnsi="Arial" w:cs="Arial"/>
          <w:noProof/>
          <w:sz w:val="22"/>
          <w:szCs w:val="22"/>
        </w:rPr>
        <w:br/>
        <w:t>L3 1PS</w:t>
      </w:r>
    </w:p>
    <w:p w14:paraId="1AA1FC79" w14:textId="77777777" w:rsidR="00754F09" w:rsidRPr="00754F09" w:rsidRDefault="00754F09" w:rsidP="00754F09">
      <w:pPr>
        <w:autoSpaceDE w:val="0"/>
        <w:autoSpaceDN w:val="0"/>
        <w:adjustRightInd w:val="0"/>
        <w:jc w:val="both"/>
        <w:rPr>
          <w:rFonts w:ascii="Arial" w:hAnsi="Arial" w:cs="Arial"/>
          <w:color w:val="000000"/>
          <w:sz w:val="22"/>
          <w:szCs w:val="22"/>
        </w:rPr>
      </w:pPr>
    </w:p>
    <w:p w14:paraId="535F6ED8" w14:textId="0599C05B" w:rsidR="00754F09" w:rsidRPr="00130A66" w:rsidRDefault="000A70D4" w:rsidP="00754F09">
      <w:pPr>
        <w:autoSpaceDE w:val="0"/>
        <w:autoSpaceDN w:val="0"/>
        <w:adjustRightInd w:val="0"/>
        <w:jc w:val="both"/>
        <w:rPr>
          <w:rFonts w:ascii="Arial" w:hAnsi="Arial" w:cs="Arial"/>
          <w:color w:val="000000"/>
          <w:sz w:val="22"/>
          <w:szCs w:val="22"/>
        </w:rPr>
      </w:pPr>
      <w:r w:rsidRPr="00130A66">
        <w:rPr>
          <w:rFonts w:ascii="Arial" w:hAnsi="Arial" w:cs="Arial"/>
          <w:color w:val="000000"/>
          <w:sz w:val="22"/>
          <w:szCs w:val="22"/>
        </w:rPr>
        <w:t>29</w:t>
      </w:r>
      <w:r w:rsidRPr="00130A66">
        <w:rPr>
          <w:rFonts w:ascii="Arial" w:hAnsi="Arial" w:cs="Arial"/>
          <w:color w:val="000000"/>
          <w:sz w:val="22"/>
          <w:szCs w:val="22"/>
          <w:vertAlign w:val="superscript"/>
        </w:rPr>
        <w:t>th</w:t>
      </w:r>
      <w:r w:rsidRPr="00130A66">
        <w:rPr>
          <w:rFonts w:ascii="Arial" w:hAnsi="Arial" w:cs="Arial"/>
          <w:color w:val="000000"/>
          <w:sz w:val="22"/>
          <w:szCs w:val="22"/>
        </w:rPr>
        <w:t xml:space="preserve"> November 2022</w:t>
      </w:r>
    </w:p>
    <w:p w14:paraId="0F2C39DA" w14:textId="77777777" w:rsidR="00754F09" w:rsidRPr="00130A66" w:rsidRDefault="00754F09" w:rsidP="00754F09">
      <w:pPr>
        <w:autoSpaceDE w:val="0"/>
        <w:autoSpaceDN w:val="0"/>
        <w:adjustRightInd w:val="0"/>
        <w:jc w:val="both"/>
        <w:rPr>
          <w:rFonts w:cs="Arial"/>
          <w:color w:val="000000"/>
        </w:rPr>
      </w:pPr>
    </w:p>
    <w:p w14:paraId="277DBF73" w14:textId="1C4DD36D" w:rsidR="009A3BE8" w:rsidRPr="00423439" w:rsidRDefault="00D8450A" w:rsidP="009A3BE8">
      <w:pPr>
        <w:spacing w:line="360" w:lineRule="auto"/>
        <w:rPr>
          <w:rFonts w:ascii="Arial" w:hAnsi="Arial" w:cs="Arial"/>
        </w:rPr>
      </w:pPr>
      <w:r w:rsidRPr="00D8450A">
        <w:rPr>
          <w:rFonts w:ascii="Arial" w:hAnsi="Arial"/>
          <w:b/>
          <w:color w:val="88B927"/>
          <w:sz w:val="28"/>
        </w:rPr>
        <w:sym w:font="Wingdings 3" w:char="F084"/>
      </w:r>
      <w:r>
        <w:rPr>
          <w:rFonts w:ascii="Arial" w:hAnsi="Arial"/>
          <w:b/>
          <w:color w:val="00FFFF"/>
          <w:sz w:val="28"/>
        </w:rPr>
        <w:tab/>
      </w:r>
      <w:r>
        <w:rPr>
          <w:rFonts w:ascii="Arial" w:hAnsi="Arial"/>
          <w:b/>
          <w:color w:val="00FFFF"/>
          <w:sz w:val="28"/>
        </w:rPr>
        <w:tab/>
      </w:r>
      <w:r>
        <w:rPr>
          <w:rFonts w:ascii="Arial" w:hAnsi="Arial"/>
          <w:b/>
          <w:color w:val="00FFFF"/>
          <w:sz w:val="28"/>
        </w:rPr>
        <w:tab/>
      </w:r>
      <w:r>
        <w:rPr>
          <w:rFonts w:ascii="Arial" w:hAnsi="Arial"/>
          <w:b/>
          <w:color w:val="00FFFF"/>
          <w:sz w:val="28"/>
        </w:rPr>
        <w:tab/>
        <w:t xml:space="preserve">            </w:t>
      </w:r>
      <w:r w:rsidR="00891011">
        <w:rPr>
          <w:rFonts w:ascii="Arial" w:hAnsi="Arial"/>
          <w:b/>
          <w:color w:val="00FFFF"/>
          <w:sz w:val="28"/>
        </w:rPr>
        <w:tab/>
      </w:r>
      <w:r w:rsidR="00891011">
        <w:rPr>
          <w:rFonts w:ascii="Arial" w:hAnsi="Arial"/>
          <w:b/>
          <w:color w:val="00FFFF"/>
          <w:sz w:val="28"/>
        </w:rPr>
        <w:tab/>
      </w:r>
      <w:r>
        <w:rPr>
          <w:rFonts w:ascii="Arial" w:hAnsi="Arial"/>
          <w:b/>
          <w:color w:val="00FFFF"/>
          <w:sz w:val="28"/>
        </w:rPr>
        <w:t xml:space="preserve">     </w:t>
      </w:r>
      <w:r w:rsidRPr="00D8450A">
        <w:rPr>
          <w:rFonts w:ascii="Arial" w:hAnsi="Arial"/>
          <w:b/>
          <w:color w:val="88B927"/>
          <w:sz w:val="28"/>
        </w:rPr>
        <w:sym w:font="Wingdings 3" w:char="F083"/>
      </w:r>
    </w:p>
    <w:p w14:paraId="41DD5A60" w14:textId="37ABEDF4" w:rsidR="009A3BE8" w:rsidRPr="00423439" w:rsidRDefault="009A3BE8" w:rsidP="00947A60">
      <w:pPr>
        <w:rPr>
          <w:rFonts w:ascii="Arial" w:hAnsi="Arial" w:cs="Arial"/>
        </w:rPr>
      </w:pPr>
    </w:p>
    <w:p w14:paraId="6BE44DD1" w14:textId="793177AC" w:rsidR="009A3BE8" w:rsidRPr="00754F09" w:rsidRDefault="00891011" w:rsidP="00947A60">
      <w:pPr>
        <w:rPr>
          <w:rFonts w:ascii="Arial" w:hAnsi="Arial" w:cs="Arial"/>
          <w:sz w:val="22"/>
          <w:szCs w:val="22"/>
        </w:rPr>
      </w:pPr>
      <w:r w:rsidRPr="00754F09">
        <w:rPr>
          <w:rFonts w:ascii="Arial" w:hAnsi="Arial" w:cs="Arial"/>
          <w:sz w:val="22"/>
          <w:szCs w:val="22"/>
        </w:rPr>
        <w:t>Dear</w:t>
      </w:r>
      <w:r w:rsidR="00754F09" w:rsidRPr="00754F09">
        <w:rPr>
          <w:rFonts w:ascii="Arial" w:hAnsi="Arial" w:cs="Arial"/>
          <w:sz w:val="22"/>
          <w:szCs w:val="22"/>
        </w:rPr>
        <w:t xml:space="preserve"> Ms Jones,</w:t>
      </w:r>
    </w:p>
    <w:p w14:paraId="07B60895" w14:textId="77777777" w:rsidR="00947A60" w:rsidRPr="00754F09" w:rsidRDefault="00947A60" w:rsidP="00947A60">
      <w:pPr>
        <w:rPr>
          <w:rFonts w:ascii="Arial" w:hAnsi="Arial" w:cs="Arial"/>
          <w:sz w:val="22"/>
          <w:szCs w:val="22"/>
        </w:rPr>
      </w:pPr>
    </w:p>
    <w:p w14:paraId="32BD7CE2" w14:textId="03AC65EE" w:rsidR="000D4E47" w:rsidRPr="00754F09" w:rsidRDefault="00891011" w:rsidP="00754F09">
      <w:pPr>
        <w:rPr>
          <w:rFonts w:ascii="Arial" w:hAnsi="Arial" w:cs="Arial"/>
          <w:sz w:val="22"/>
          <w:szCs w:val="22"/>
        </w:rPr>
      </w:pPr>
      <w:r w:rsidRPr="00754F09">
        <w:rPr>
          <w:rFonts w:ascii="Arial" w:hAnsi="Arial" w:cs="Arial"/>
          <w:b/>
          <w:bCs/>
          <w:sz w:val="22"/>
          <w:szCs w:val="22"/>
        </w:rPr>
        <w:t>Re:</w:t>
      </w:r>
      <w:r w:rsidR="00754F09" w:rsidRPr="00754F09">
        <w:rPr>
          <w:rFonts w:ascii="Arial" w:hAnsi="Arial" w:cs="Arial"/>
          <w:b/>
          <w:bCs/>
          <w:sz w:val="22"/>
          <w:szCs w:val="22"/>
        </w:rPr>
        <w:t xml:space="preserve"> </w:t>
      </w:r>
      <w:r w:rsidR="000D4E47" w:rsidRPr="00754F09">
        <w:rPr>
          <w:rFonts w:ascii="Arial" w:hAnsi="Arial" w:cs="Arial"/>
          <w:b/>
          <w:bCs/>
          <w:sz w:val="22"/>
          <w:szCs w:val="22"/>
        </w:rPr>
        <w:t>South Ribble Borough Council Financial Statements for the year ended 31 March 202</w:t>
      </w:r>
      <w:r w:rsidR="000A70D4">
        <w:rPr>
          <w:rFonts w:ascii="Arial" w:hAnsi="Arial" w:cs="Arial"/>
          <w:b/>
          <w:bCs/>
          <w:sz w:val="22"/>
          <w:szCs w:val="22"/>
        </w:rPr>
        <w:t>2</w:t>
      </w:r>
    </w:p>
    <w:p w14:paraId="7A4986EE" w14:textId="77777777" w:rsidR="000D4E47" w:rsidRPr="00130A66" w:rsidRDefault="000D4E47" w:rsidP="000D4E47">
      <w:pPr>
        <w:pStyle w:val="Default"/>
        <w:jc w:val="both"/>
        <w:rPr>
          <w:sz w:val="22"/>
          <w:szCs w:val="22"/>
        </w:rPr>
      </w:pPr>
    </w:p>
    <w:p w14:paraId="4469CC20" w14:textId="77777777" w:rsidR="00130A66" w:rsidRPr="00130A66" w:rsidRDefault="00130A66" w:rsidP="00130A66">
      <w:pPr>
        <w:pStyle w:val="LetterSubHeading1"/>
        <w:rPr>
          <w:rFonts w:ascii="Arial" w:hAnsi="Arial" w:cs="Arial"/>
          <w:sz w:val="22"/>
          <w:szCs w:val="22"/>
        </w:rPr>
      </w:pPr>
      <w:r w:rsidRPr="00130A66">
        <w:rPr>
          <w:rFonts w:ascii="Arial" w:hAnsi="Arial" w:cs="Arial"/>
          <w:sz w:val="22"/>
          <w:szCs w:val="22"/>
        </w:rPr>
        <w:t>South Ribble Borough Council</w:t>
      </w:r>
      <w:r w:rsidRPr="00130A66">
        <w:rPr>
          <w:rFonts w:ascii="Arial" w:hAnsi="Arial" w:cs="Arial"/>
          <w:sz w:val="22"/>
          <w:szCs w:val="22"/>
        </w:rPr>
        <w:br/>
        <w:t>Financial Statements for the year ended 31 March 2022</w:t>
      </w:r>
    </w:p>
    <w:p w14:paraId="29C8B780" w14:textId="5EE03F23" w:rsidR="00130A66" w:rsidRPr="00130A66" w:rsidRDefault="00130A66" w:rsidP="00130A66">
      <w:pPr>
        <w:pStyle w:val="LetterSubHeading1Black"/>
        <w:rPr>
          <w:rFonts w:ascii="Arial" w:hAnsi="Arial" w:cs="Arial"/>
          <w:b w:val="0"/>
          <w:bCs w:val="0"/>
          <w:color w:val="auto"/>
          <w:kern w:val="0"/>
          <w:sz w:val="22"/>
          <w:szCs w:val="22"/>
        </w:rPr>
      </w:pPr>
      <w:r w:rsidRPr="00130A66">
        <w:rPr>
          <w:rFonts w:ascii="Arial" w:hAnsi="Arial" w:cs="Arial"/>
          <w:b w:val="0"/>
          <w:bCs w:val="0"/>
          <w:color w:val="auto"/>
          <w:kern w:val="0"/>
          <w:sz w:val="22"/>
          <w:szCs w:val="22"/>
        </w:rPr>
        <w:t>This representation letter is provided in connection with the audit of the financial statements of South Ribble Borough Council</w:t>
      </w:r>
      <w:r w:rsidRPr="00130A66">
        <w:rPr>
          <w:rFonts w:ascii="Arial" w:hAnsi="Arial" w:cs="Arial"/>
          <w:b w:val="0"/>
          <w:bCs w:val="0"/>
          <w:color w:val="FF0000"/>
          <w:kern w:val="0"/>
          <w:sz w:val="22"/>
          <w:szCs w:val="22"/>
        </w:rPr>
        <w:t xml:space="preserve"> </w:t>
      </w:r>
      <w:r w:rsidRPr="00130A66">
        <w:rPr>
          <w:rFonts w:ascii="Arial" w:hAnsi="Arial" w:cs="Arial"/>
          <w:b w:val="0"/>
          <w:bCs w:val="0"/>
          <w:color w:val="auto"/>
          <w:kern w:val="0"/>
          <w:sz w:val="22"/>
          <w:szCs w:val="22"/>
        </w:rPr>
        <w:t>and its subsidiary undertaking, South Ribble Leisure Ltd</w:t>
      </w:r>
      <w:r w:rsidRPr="00130A66">
        <w:rPr>
          <w:rFonts w:ascii="Arial" w:hAnsi="Arial" w:cs="Arial"/>
          <w:b w:val="0"/>
          <w:bCs w:val="0"/>
          <w:color w:val="FF0000"/>
          <w:kern w:val="0"/>
          <w:sz w:val="22"/>
          <w:szCs w:val="22"/>
        </w:rPr>
        <w:t xml:space="preserve"> </w:t>
      </w:r>
      <w:r w:rsidRPr="00130A66">
        <w:rPr>
          <w:rFonts w:ascii="Arial" w:hAnsi="Arial" w:cs="Arial"/>
          <w:b w:val="0"/>
          <w:bCs w:val="0"/>
          <w:color w:val="auto"/>
          <w:kern w:val="0"/>
          <w:sz w:val="22"/>
          <w:szCs w:val="22"/>
        </w:rPr>
        <w:t xml:space="preserve">for the year ended 31 March 2022 for the purpose of expressing an opinion as to whether the group and Council financial statements are presented fairly, in all material respects in accordance with International Financial Reporting Standards and the CIPFA/LASAAC Code of Practice on Local Authority Accounting in the United Kingdom 2021/22 and applicable law. </w:t>
      </w:r>
    </w:p>
    <w:p w14:paraId="1434751B" w14:textId="77777777" w:rsidR="00130A66" w:rsidRPr="00130A66" w:rsidRDefault="00130A66" w:rsidP="00130A66">
      <w:pPr>
        <w:pStyle w:val="LetterSubHeading1Black"/>
        <w:rPr>
          <w:rFonts w:ascii="Arial" w:hAnsi="Arial" w:cs="Arial"/>
          <w:b w:val="0"/>
          <w:bCs w:val="0"/>
          <w:color w:val="auto"/>
          <w:kern w:val="0"/>
          <w:sz w:val="22"/>
          <w:szCs w:val="22"/>
        </w:rPr>
      </w:pPr>
      <w:r w:rsidRPr="00130A66">
        <w:rPr>
          <w:rFonts w:ascii="Arial" w:hAnsi="Arial" w:cs="Arial"/>
          <w:b w:val="0"/>
          <w:bCs w:val="0"/>
          <w:color w:val="auto"/>
          <w:kern w:val="0"/>
          <w:sz w:val="22"/>
          <w:szCs w:val="22"/>
        </w:rPr>
        <w:t>We confirm that to the best of our knowledge and belief having made such inquiries as we considered necessary for the purpose of appropriately informing ourselves:</w:t>
      </w:r>
    </w:p>
    <w:p w14:paraId="3B7D4ADA"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t>Financial Statements</w:t>
      </w:r>
    </w:p>
    <w:p w14:paraId="50AD4FF5"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fulfilled our responsibilities for the preparation of the group and Council’s financial statements in accordance with International Financial Reporting Standards and the CIPFA/LASAAC Code of Practice on Local Authority Accounting in the United Kingdom 2021/22 ("the Code"); in particular the financial statements are fairly presented in accordance therewith.</w:t>
      </w:r>
    </w:p>
    <w:p w14:paraId="23E13DC7" w14:textId="77777777" w:rsidR="00130A66" w:rsidRPr="00130A66" w:rsidRDefault="00130A66" w:rsidP="00130A66">
      <w:pPr>
        <w:pStyle w:val="ListParagraph"/>
        <w:numPr>
          <w:ilvl w:val="0"/>
          <w:numId w:val="9"/>
        </w:numPr>
        <w:spacing w:after="120" w:line="240" w:lineRule="atLeast"/>
        <w:rPr>
          <w:rFonts w:ascii="Arial" w:hAnsi="Arial" w:cs="Arial"/>
          <w:sz w:val="22"/>
          <w:szCs w:val="22"/>
        </w:rPr>
      </w:pPr>
      <w:r w:rsidRPr="00130A66">
        <w:rPr>
          <w:rFonts w:ascii="Arial" w:hAnsi="Arial" w:cs="Arial"/>
          <w:sz w:val="22"/>
          <w:szCs w:val="22"/>
        </w:rPr>
        <w:t>We have complied with the requirements of all statutory directions affecting the group and Council and these matters have been appropriately reflected and disclosed in the financial statements.</w:t>
      </w:r>
    </w:p>
    <w:p w14:paraId="130BB19E"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The Council has complied with all aspects of contractual agreements that could have a material effect on the group and Council financial statements in the event of non-compliance. There has been no non-compliance with requirements of any regulatory authorities that could have a material effect on the financial statements in the event of non-compliance.</w:t>
      </w:r>
    </w:p>
    <w:p w14:paraId="42A9C853"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acknowledge our responsibility for the design, implementation and maintenance of internal control to prevent and detect fraud.</w:t>
      </w:r>
    </w:p>
    <w:p w14:paraId="0676EE66" w14:textId="5BE3133B"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Significant assumptions used by us in making accounting estimates, including those measured at fair value, are reasonable.</w:t>
      </w:r>
      <w:bookmarkStart w:id="0" w:name="_Hlk72500020"/>
      <w:r w:rsidRPr="00130A66">
        <w:rPr>
          <w:rFonts w:ascii="Arial" w:hAnsi="Arial" w:cs="Arial"/>
          <w:sz w:val="22"/>
          <w:szCs w:val="22"/>
        </w:rPr>
        <w:t xml:space="preserve"> Such accounting estimates include valuation of land and buildings, valuation of investment property and the valuation of the net pension liability. We are satisfied that the material judgements used in the preparation of the financial statements are soundly </w:t>
      </w:r>
      <w:r w:rsidRPr="00130A66">
        <w:rPr>
          <w:rFonts w:ascii="Arial" w:hAnsi="Arial" w:cs="Arial"/>
          <w:sz w:val="22"/>
          <w:szCs w:val="22"/>
        </w:rPr>
        <w:lastRenderedPageBreak/>
        <w:t xml:space="preserve">based, in accordance with the Code and adequately disclosed in the financial statements. We understand our responsibilities includes identifying and considering alternative methods, assumptions or source data that would be equally valid under the financial reporting framework, and why these alternatives were rejected in favour of the estimate used. </w:t>
      </w:r>
      <w:bookmarkEnd w:id="0"/>
      <w:r w:rsidRPr="00130A66">
        <w:rPr>
          <w:rFonts w:ascii="Arial" w:hAnsi="Arial" w:cs="Arial"/>
          <w:sz w:val="22"/>
          <w:szCs w:val="22"/>
        </w:rPr>
        <w:t>We are satisfied that the methods, the data and the significant assumptions used by us in making accounting estimates and their related disclosures are appropriate to achieve recognition, measurement or disclosure that is reasonable in accordance with the Code and adequately disclosed in the financial statements.</w:t>
      </w:r>
    </w:p>
    <w:p w14:paraId="1BA47528" w14:textId="77777777" w:rsidR="00130A66" w:rsidRPr="00130A66" w:rsidRDefault="00130A66" w:rsidP="00130A66">
      <w:pPr>
        <w:pStyle w:val="BodyText"/>
        <w:ind w:left="720"/>
        <w:rPr>
          <w:rFonts w:ascii="Arial" w:hAnsi="Arial" w:cs="Arial"/>
          <w:sz w:val="22"/>
          <w:szCs w:val="22"/>
        </w:rPr>
      </w:pPr>
    </w:p>
    <w:p w14:paraId="0F2F388E" w14:textId="77777777" w:rsidR="00130A66" w:rsidRPr="00130A66" w:rsidRDefault="00130A66" w:rsidP="00130A66">
      <w:pPr>
        <w:pStyle w:val="ListParagraph"/>
        <w:numPr>
          <w:ilvl w:val="0"/>
          <w:numId w:val="9"/>
        </w:numPr>
        <w:spacing w:after="120" w:line="240" w:lineRule="atLeast"/>
        <w:rPr>
          <w:rFonts w:ascii="Arial" w:hAnsi="Arial" w:cs="Arial"/>
          <w:sz w:val="22"/>
          <w:szCs w:val="22"/>
        </w:rPr>
      </w:pPr>
      <w:r w:rsidRPr="00130A66">
        <w:rPr>
          <w:rFonts w:ascii="Arial" w:hAnsi="Arial" w:cs="Arial"/>
          <w:sz w:val="22"/>
          <w:szCs w:val="22"/>
        </w:rPr>
        <w:t xml:space="preserve">We confirm that we are satisfied that the actuarial assumptions underlying the valuation of pension scheme assets and liabilities for IAS19 Employee Benefits disclosures are consistent with our knowledge.  We confirm that all settlements and curtailments have been identified and properly accounted for.  We also confirm that all significant post-employment benefits have been identified and properly accounted for. </w:t>
      </w:r>
    </w:p>
    <w:p w14:paraId="21995BD5"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Except as disclosed in the group and Council financial statements:</w:t>
      </w:r>
    </w:p>
    <w:p w14:paraId="1364AF5B"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there are no unrecorded liabilities, actual or contingent</w:t>
      </w:r>
    </w:p>
    <w:p w14:paraId="18A7F9A6"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none of the assets of the group and Council has been assigned, pledged or mortgaged</w:t>
      </w:r>
    </w:p>
    <w:p w14:paraId="7F2102A2"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there are no material prior year charges or credits, nor exceptional or non-recurring items requiring separate disclosure.</w:t>
      </w:r>
    </w:p>
    <w:p w14:paraId="306EFCEF"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Related party relationships and transactions have been appropriately accounted for and disclosed in accordance with the requirements of International Financial Reporting Standards and the Code.</w:t>
      </w:r>
    </w:p>
    <w:p w14:paraId="2CEA2EDF" w14:textId="184BD2B0"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All events subsequent to the date of the financial statements</w:t>
      </w:r>
      <w:r w:rsidRPr="00130A66">
        <w:rPr>
          <w:rFonts w:ascii="Arial" w:hAnsi="Arial" w:cs="Arial"/>
          <w:sz w:val="22"/>
          <w:szCs w:val="22"/>
        </w:rPr>
        <w:t>,</w:t>
      </w:r>
      <w:r w:rsidRPr="00130A66">
        <w:rPr>
          <w:rFonts w:ascii="Arial" w:hAnsi="Arial" w:cs="Arial"/>
          <w:sz w:val="22"/>
          <w:szCs w:val="22"/>
        </w:rPr>
        <w:t xml:space="preserve"> and for which International Financial Reporting Standards and the Code require adjustment or disclosure</w:t>
      </w:r>
      <w:r w:rsidRPr="00130A66">
        <w:rPr>
          <w:rFonts w:ascii="Arial" w:hAnsi="Arial" w:cs="Arial"/>
          <w:sz w:val="22"/>
          <w:szCs w:val="22"/>
        </w:rPr>
        <w:t>,</w:t>
      </w:r>
      <w:r w:rsidRPr="00130A66">
        <w:rPr>
          <w:rFonts w:ascii="Arial" w:hAnsi="Arial" w:cs="Arial"/>
          <w:sz w:val="22"/>
          <w:szCs w:val="22"/>
        </w:rPr>
        <w:t xml:space="preserve"> have been adjusted or disclosed.</w:t>
      </w:r>
    </w:p>
    <w:p w14:paraId="2F14F6E2"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considered the adjusted misstatements, and misclassification and disclosures changes schedules included in your Audit Findings Report. The group and Council financial statements have been amended for these misstatements, misclassifications and disclosure changes and are free of material misstatements, including omissions.</w:t>
      </w:r>
    </w:p>
    <w:p w14:paraId="524FF5B8"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considered the unadjusted misstatements schedule included in your Audit Findings Report (also included at appendix 1). We have not adjusted the financial statements for these misstatements brought to our attention as they are immaterial. The financial statements are free of material misstatements, including omissions.</w:t>
      </w:r>
    </w:p>
    <w:p w14:paraId="609287D5"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Actual or possible litigation and claims have been accounted for and disclosed in accordance with the requirements of International Financial Reporting Standards.</w:t>
      </w:r>
    </w:p>
    <w:p w14:paraId="7071D71C"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no plans or intentions that may materially alter the carrying value or classification of assets and liabilities reflected in the financial statements.</w:t>
      </w:r>
    </w:p>
    <w:p w14:paraId="5A563A1E" w14:textId="2F23A83B"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 xml:space="preserve">We have updated our going concern assessment. We continue to believe that the group and Council’s financial statements should be prepared on a going concern basis and have not identified any material uncertainties related to going concern on the grounds that: </w:t>
      </w:r>
    </w:p>
    <w:p w14:paraId="39006EEF"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the nature of the group and Council means that, notwithstanding any intention to cease the group and Council operations in their current form, it will continue to be appropriate to adopt the going concern basis of accounting because, in such an event, services it performs can be expected to continue to be delivered by related public authorities and preparing the financial statements on a going concern basis will still provide a faithful representation of the items in the financial statements</w:t>
      </w:r>
    </w:p>
    <w:p w14:paraId="60AC9F17"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 xml:space="preserve">the financial reporting framework permits the entry to prepare its financial statements on the basis of the presumption set out under a) above; and </w:t>
      </w:r>
    </w:p>
    <w:p w14:paraId="59600E25" w14:textId="77777777" w:rsidR="00130A66" w:rsidRPr="00130A66" w:rsidRDefault="00130A66" w:rsidP="00130A66">
      <w:pPr>
        <w:pStyle w:val="BodyText"/>
        <w:numPr>
          <w:ilvl w:val="1"/>
          <w:numId w:val="9"/>
        </w:numPr>
        <w:rPr>
          <w:rFonts w:ascii="Arial" w:hAnsi="Arial" w:cs="Arial"/>
          <w:color w:val="000000"/>
          <w:sz w:val="22"/>
          <w:szCs w:val="22"/>
        </w:rPr>
      </w:pPr>
      <w:r w:rsidRPr="00130A66">
        <w:rPr>
          <w:rFonts w:ascii="Arial" w:hAnsi="Arial" w:cs="Arial"/>
          <w:sz w:val="22"/>
          <w:szCs w:val="22"/>
        </w:rPr>
        <w:t>the group and Council’s system of internal control has not identified any events or conditions relevant to going concern.</w:t>
      </w:r>
    </w:p>
    <w:p w14:paraId="550B84A5" w14:textId="77777777" w:rsidR="00130A66" w:rsidRPr="00130A66" w:rsidRDefault="00130A66" w:rsidP="00130A66">
      <w:pPr>
        <w:pStyle w:val="ListParagraph"/>
        <w:rPr>
          <w:rFonts w:ascii="Arial" w:hAnsi="Arial" w:cs="Arial"/>
          <w:color w:val="000000" w:themeColor="text1"/>
          <w:sz w:val="22"/>
          <w:szCs w:val="22"/>
        </w:rPr>
      </w:pPr>
      <w:r w:rsidRPr="00130A66">
        <w:rPr>
          <w:rFonts w:ascii="Arial" w:hAnsi="Arial" w:cs="Arial"/>
          <w:color w:val="000000" w:themeColor="text1"/>
          <w:sz w:val="22"/>
          <w:szCs w:val="22"/>
        </w:rPr>
        <w:lastRenderedPageBreak/>
        <w:t xml:space="preserve">We believe that no further disclosures relating to the group and Council's ability to continue as a going concern need to be made in the financial statements </w:t>
      </w:r>
    </w:p>
    <w:p w14:paraId="35EC9AAA" w14:textId="77777777" w:rsidR="00130A66" w:rsidRPr="00130A66" w:rsidRDefault="00130A66" w:rsidP="00130A66">
      <w:pPr>
        <w:pStyle w:val="ListParagraph"/>
        <w:rPr>
          <w:rFonts w:ascii="Arial" w:hAnsi="Arial" w:cs="Arial"/>
          <w:color w:val="000000" w:themeColor="text1"/>
          <w:sz w:val="22"/>
          <w:szCs w:val="22"/>
        </w:rPr>
      </w:pPr>
    </w:p>
    <w:p w14:paraId="50F634BD" w14:textId="6C5BC971" w:rsidR="00130A66" w:rsidRPr="00130A66" w:rsidRDefault="00130A66" w:rsidP="00130A66">
      <w:pPr>
        <w:pStyle w:val="ListParagraph"/>
        <w:numPr>
          <w:ilvl w:val="0"/>
          <w:numId w:val="9"/>
        </w:numPr>
        <w:spacing w:after="120" w:line="240" w:lineRule="atLeast"/>
        <w:rPr>
          <w:rFonts w:ascii="Arial" w:hAnsi="Arial" w:cs="Arial"/>
          <w:color w:val="000000" w:themeColor="text1"/>
          <w:sz w:val="22"/>
          <w:szCs w:val="22"/>
        </w:rPr>
      </w:pPr>
      <w:bookmarkStart w:id="1" w:name="_Hlk109134641"/>
      <w:bookmarkStart w:id="2" w:name="_Hlk109134666"/>
      <w:r w:rsidRPr="00130A66">
        <w:rPr>
          <w:rFonts w:ascii="Arial" w:hAnsi="Arial" w:cs="Arial"/>
          <w:color w:val="000000" w:themeColor="text1"/>
          <w:sz w:val="22"/>
          <w:szCs w:val="22"/>
        </w:rPr>
        <w:t>The group and Council ha</w:t>
      </w:r>
      <w:r>
        <w:rPr>
          <w:rFonts w:ascii="Arial" w:hAnsi="Arial" w:cs="Arial"/>
          <w:color w:val="000000" w:themeColor="text1"/>
          <w:sz w:val="22"/>
          <w:szCs w:val="22"/>
        </w:rPr>
        <w:t>ve</w:t>
      </w:r>
      <w:r w:rsidRPr="00130A66">
        <w:rPr>
          <w:rFonts w:ascii="Arial" w:hAnsi="Arial" w:cs="Arial"/>
          <w:color w:val="000000" w:themeColor="text1"/>
          <w:sz w:val="22"/>
          <w:szCs w:val="22"/>
        </w:rPr>
        <w:t xml:space="preserve"> complied with all aspects of ring-fenced grants that could have a material effect on the group and Council’s financial statements in the event of non-compliance.</w:t>
      </w:r>
    </w:p>
    <w:p w14:paraId="57C429EC" w14:textId="77777777" w:rsidR="00130A66" w:rsidRPr="00130A66" w:rsidRDefault="00130A66" w:rsidP="00130A66">
      <w:pPr>
        <w:pStyle w:val="ListParagraph"/>
        <w:spacing w:after="120" w:line="240" w:lineRule="atLeast"/>
        <w:rPr>
          <w:rFonts w:ascii="Arial" w:hAnsi="Arial" w:cs="Arial"/>
          <w:sz w:val="22"/>
          <w:szCs w:val="22"/>
        </w:rPr>
      </w:pPr>
    </w:p>
    <w:p w14:paraId="10520D5B" w14:textId="05F9B5E8" w:rsidR="00130A66" w:rsidRPr="00130A66" w:rsidRDefault="00130A66" w:rsidP="00130A66">
      <w:pPr>
        <w:pStyle w:val="ListParagraph"/>
        <w:numPr>
          <w:ilvl w:val="0"/>
          <w:numId w:val="9"/>
        </w:numPr>
        <w:spacing w:after="120" w:line="240" w:lineRule="atLeast"/>
        <w:rPr>
          <w:rFonts w:ascii="Arial" w:hAnsi="Arial" w:cs="Arial"/>
          <w:sz w:val="22"/>
          <w:szCs w:val="22"/>
        </w:rPr>
      </w:pPr>
      <w:r w:rsidRPr="00130A66">
        <w:rPr>
          <w:rFonts w:ascii="Arial" w:hAnsi="Arial" w:cs="Arial"/>
          <w:sz w:val="22"/>
          <w:szCs w:val="22"/>
        </w:rPr>
        <w:t xml:space="preserve">We have considered the year end value of land and building assets which have not been subject to external valuation and we are satisfied that the basis of valuation remains appropriate and assets are not materially misstated. We have not identified any material changes to the properties. </w:t>
      </w:r>
    </w:p>
    <w:p w14:paraId="36D7159B" w14:textId="77777777" w:rsidR="00130A66" w:rsidRPr="00130A66" w:rsidRDefault="00130A66" w:rsidP="00130A66">
      <w:pPr>
        <w:pStyle w:val="ListParagraph"/>
        <w:rPr>
          <w:rFonts w:ascii="Arial" w:hAnsi="Arial" w:cs="Arial"/>
          <w:sz w:val="22"/>
          <w:szCs w:val="22"/>
        </w:rPr>
      </w:pPr>
    </w:p>
    <w:bookmarkEnd w:id="1"/>
    <w:bookmarkEnd w:id="2"/>
    <w:p w14:paraId="7464A1F7"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t>Information Provided</w:t>
      </w:r>
    </w:p>
    <w:p w14:paraId="53A66595"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provided you with:</w:t>
      </w:r>
    </w:p>
    <w:p w14:paraId="3193F1DA" w14:textId="7F99C732"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access to all information of which we are aware that is relevant to the preparation of the group and Council’s financial statements such as records, documentation</w:t>
      </w:r>
      <w:r>
        <w:rPr>
          <w:rFonts w:ascii="Arial" w:hAnsi="Arial" w:cs="Arial"/>
          <w:sz w:val="22"/>
          <w:szCs w:val="22"/>
        </w:rPr>
        <w:t>,</w:t>
      </w:r>
      <w:r w:rsidRPr="00130A66">
        <w:rPr>
          <w:rFonts w:ascii="Arial" w:hAnsi="Arial" w:cs="Arial"/>
          <w:sz w:val="22"/>
          <w:szCs w:val="22"/>
        </w:rPr>
        <w:t xml:space="preserve"> and other matters;</w:t>
      </w:r>
    </w:p>
    <w:p w14:paraId="13B2012E"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additional information that you have requested from us for the purpose of your audit; and</w:t>
      </w:r>
    </w:p>
    <w:p w14:paraId="2EE3F20B" w14:textId="5E3A59F4"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access to persons within the Council via remote arrangements</w:t>
      </w:r>
      <w:r>
        <w:rPr>
          <w:rFonts w:ascii="Arial" w:hAnsi="Arial" w:cs="Arial"/>
          <w:sz w:val="22"/>
          <w:szCs w:val="22"/>
        </w:rPr>
        <w:t xml:space="preserve"> </w:t>
      </w:r>
      <w:r w:rsidRPr="00130A66">
        <w:rPr>
          <w:rFonts w:ascii="Arial" w:hAnsi="Arial" w:cs="Arial"/>
          <w:sz w:val="22"/>
          <w:szCs w:val="22"/>
        </w:rPr>
        <w:t>from whom you determined it necessary to obtain audit evidence.</w:t>
      </w:r>
    </w:p>
    <w:p w14:paraId="79C9498A"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communicated to you all deficiencies in internal control of which management is aware.</w:t>
      </w:r>
    </w:p>
    <w:p w14:paraId="3A172027"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All transactions have been recorded in the accounting records and are reflected in the financial statements.</w:t>
      </w:r>
    </w:p>
    <w:p w14:paraId="24395D19" w14:textId="77777777" w:rsidR="00130A66" w:rsidRPr="00130A66" w:rsidRDefault="00130A66" w:rsidP="00130A66">
      <w:pPr>
        <w:pStyle w:val="BodyText"/>
        <w:numPr>
          <w:ilvl w:val="0"/>
          <w:numId w:val="9"/>
        </w:numPr>
        <w:spacing w:after="0"/>
        <w:rPr>
          <w:rFonts w:ascii="Arial" w:hAnsi="Arial" w:cs="Arial"/>
          <w:sz w:val="22"/>
          <w:szCs w:val="22"/>
        </w:rPr>
      </w:pPr>
      <w:r w:rsidRPr="00130A66">
        <w:rPr>
          <w:rFonts w:ascii="Arial" w:hAnsi="Arial" w:cs="Arial"/>
          <w:sz w:val="22"/>
          <w:szCs w:val="22"/>
        </w:rPr>
        <w:t>We have disclosed to you the results of our assessment of the risk that the financial statements may be materially misstated as a result of fraud.</w:t>
      </w:r>
    </w:p>
    <w:p w14:paraId="47B55542" w14:textId="77777777" w:rsidR="00130A66" w:rsidRPr="00130A66" w:rsidRDefault="00130A66" w:rsidP="00130A66">
      <w:pPr>
        <w:pStyle w:val="BodyText"/>
        <w:spacing w:after="0"/>
        <w:ind w:left="720"/>
        <w:rPr>
          <w:rFonts w:ascii="Arial" w:hAnsi="Arial" w:cs="Arial"/>
          <w:sz w:val="22"/>
          <w:szCs w:val="22"/>
        </w:rPr>
      </w:pPr>
    </w:p>
    <w:p w14:paraId="1294A244" w14:textId="77777777" w:rsidR="00130A66" w:rsidRPr="00130A66" w:rsidRDefault="00130A66" w:rsidP="00130A66">
      <w:pPr>
        <w:pStyle w:val="BodyText"/>
        <w:numPr>
          <w:ilvl w:val="0"/>
          <w:numId w:val="9"/>
        </w:numPr>
        <w:spacing w:after="0"/>
        <w:rPr>
          <w:rFonts w:ascii="Arial" w:hAnsi="Arial" w:cs="Arial"/>
          <w:sz w:val="22"/>
          <w:szCs w:val="22"/>
        </w:rPr>
      </w:pPr>
      <w:r w:rsidRPr="00130A66">
        <w:rPr>
          <w:rFonts w:ascii="Arial" w:hAnsi="Arial" w:cs="Arial"/>
          <w:sz w:val="22"/>
          <w:szCs w:val="22"/>
        </w:rPr>
        <w:t>We have disclosed to you all information in relation to fraud or suspected fraud that we are aware of and that affects the group and Council, and involves:</w:t>
      </w:r>
    </w:p>
    <w:p w14:paraId="6B21C3A5"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management;</w:t>
      </w:r>
    </w:p>
    <w:p w14:paraId="095B92F2"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employees who have significant roles in internal control; or</w:t>
      </w:r>
    </w:p>
    <w:p w14:paraId="19210716" w14:textId="77777777" w:rsidR="00130A66" w:rsidRPr="00130A66" w:rsidRDefault="00130A66" w:rsidP="00130A66">
      <w:pPr>
        <w:pStyle w:val="BodyText"/>
        <w:numPr>
          <w:ilvl w:val="1"/>
          <w:numId w:val="9"/>
        </w:numPr>
        <w:rPr>
          <w:rFonts w:ascii="Arial" w:hAnsi="Arial" w:cs="Arial"/>
          <w:sz w:val="22"/>
          <w:szCs w:val="22"/>
        </w:rPr>
      </w:pPr>
      <w:r w:rsidRPr="00130A66">
        <w:rPr>
          <w:rFonts w:ascii="Arial" w:hAnsi="Arial" w:cs="Arial"/>
          <w:sz w:val="22"/>
          <w:szCs w:val="22"/>
        </w:rPr>
        <w:t>others where the fraud could have a material effect on the financial statements.</w:t>
      </w:r>
    </w:p>
    <w:p w14:paraId="2319A12C" w14:textId="497BB609"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disclosed to you all information in relation to allegations of fraud, or suspected fraud, affecting the financial statements communicated by employees, former employees, analysts, regulators</w:t>
      </w:r>
      <w:r>
        <w:rPr>
          <w:rFonts w:ascii="Arial" w:hAnsi="Arial" w:cs="Arial"/>
          <w:sz w:val="22"/>
          <w:szCs w:val="22"/>
        </w:rPr>
        <w:t>,</w:t>
      </w:r>
      <w:r w:rsidRPr="00130A66">
        <w:rPr>
          <w:rFonts w:ascii="Arial" w:hAnsi="Arial" w:cs="Arial"/>
          <w:sz w:val="22"/>
          <w:szCs w:val="22"/>
        </w:rPr>
        <w:t xml:space="preserve"> or others.</w:t>
      </w:r>
    </w:p>
    <w:p w14:paraId="2948E815"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disclosed to you all known instances of non-compliance or suspected non-compliance with laws and regulations whose effects should be considered when preparing financial statements.</w:t>
      </w:r>
    </w:p>
    <w:p w14:paraId="6CFC31F6"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disclosed to you the identity of the group and Council's related parties and all the related party relationships and transactions of which we are aware.</w:t>
      </w:r>
    </w:p>
    <w:p w14:paraId="22159D62"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have disclosed to you all known actual or possible litigation and claims whose effects should be considered when preparing the financial statements.</w:t>
      </w:r>
    </w:p>
    <w:p w14:paraId="32438B8C"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t>Annual Governance Statement</w:t>
      </w:r>
    </w:p>
    <w:p w14:paraId="644D569E"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We are satisfied that the Annual Governance Statement (AGS) fairly reflects the Council's risk assurance and governance framework and we confirm that we are not aware of any significant risks that are not disclosed within the AGS.</w:t>
      </w:r>
    </w:p>
    <w:p w14:paraId="0600E6A9"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t>Narrative Report</w:t>
      </w:r>
    </w:p>
    <w:p w14:paraId="6B9D8D26" w14:textId="77777777" w:rsidR="00130A66" w:rsidRPr="00130A66" w:rsidRDefault="00130A66" w:rsidP="00130A66">
      <w:pPr>
        <w:pStyle w:val="BodyText"/>
        <w:numPr>
          <w:ilvl w:val="0"/>
          <w:numId w:val="9"/>
        </w:numPr>
        <w:rPr>
          <w:rFonts w:ascii="Arial" w:hAnsi="Arial" w:cs="Arial"/>
          <w:sz w:val="22"/>
          <w:szCs w:val="22"/>
        </w:rPr>
      </w:pPr>
      <w:r w:rsidRPr="00130A66">
        <w:rPr>
          <w:rFonts w:ascii="Arial" w:hAnsi="Arial" w:cs="Arial"/>
          <w:sz w:val="22"/>
          <w:szCs w:val="22"/>
        </w:rPr>
        <w:t>The disclosures within the Narrative Report fairly reflect our understanding of the group and Council's financial and operating performance over the period covered by the financial statements.</w:t>
      </w:r>
    </w:p>
    <w:p w14:paraId="163CEE02"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lastRenderedPageBreak/>
        <w:t>Approval</w:t>
      </w:r>
    </w:p>
    <w:p w14:paraId="3A83784D" w14:textId="77777777" w:rsidR="00130A66" w:rsidRPr="00130A66" w:rsidRDefault="00130A66" w:rsidP="00130A66">
      <w:pPr>
        <w:pStyle w:val="BodyText"/>
        <w:rPr>
          <w:rFonts w:ascii="Arial" w:hAnsi="Arial" w:cs="Arial"/>
          <w:sz w:val="22"/>
          <w:szCs w:val="22"/>
        </w:rPr>
      </w:pPr>
      <w:r w:rsidRPr="00130A66">
        <w:rPr>
          <w:rFonts w:ascii="Arial" w:hAnsi="Arial" w:cs="Arial"/>
          <w:sz w:val="22"/>
          <w:szCs w:val="22"/>
        </w:rPr>
        <w:t xml:space="preserve">The approval of this letter of representation was </w:t>
      </w:r>
      <w:proofErr w:type="spellStart"/>
      <w:r w:rsidRPr="00130A66">
        <w:rPr>
          <w:rFonts w:ascii="Arial" w:hAnsi="Arial" w:cs="Arial"/>
          <w:sz w:val="22"/>
          <w:szCs w:val="22"/>
        </w:rPr>
        <w:t>minuted</w:t>
      </w:r>
      <w:proofErr w:type="spellEnd"/>
      <w:r w:rsidRPr="00130A66">
        <w:rPr>
          <w:rFonts w:ascii="Arial" w:hAnsi="Arial" w:cs="Arial"/>
          <w:sz w:val="22"/>
          <w:szCs w:val="22"/>
        </w:rPr>
        <w:t xml:space="preserve"> by the Council’s Governance Committee</w:t>
      </w:r>
      <w:r w:rsidRPr="00130A66">
        <w:rPr>
          <w:rFonts w:ascii="Arial" w:hAnsi="Arial" w:cs="Arial"/>
          <w:color w:val="FF0000"/>
          <w:sz w:val="22"/>
          <w:szCs w:val="22"/>
        </w:rPr>
        <w:t xml:space="preserve"> </w:t>
      </w:r>
      <w:r w:rsidRPr="00130A66">
        <w:rPr>
          <w:rFonts w:ascii="Arial" w:hAnsi="Arial" w:cs="Arial"/>
          <w:sz w:val="22"/>
          <w:szCs w:val="22"/>
        </w:rPr>
        <w:t>at its meeting on 29 November 2022.</w:t>
      </w:r>
    </w:p>
    <w:p w14:paraId="60AAF6F1" w14:textId="77777777" w:rsidR="00130A66" w:rsidRPr="00130A66" w:rsidRDefault="00130A66" w:rsidP="00130A66">
      <w:pPr>
        <w:pStyle w:val="BodyText"/>
        <w:rPr>
          <w:rFonts w:ascii="Arial" w:hAnsi="Arial" w:cs="Arial"/>
          <w:sz w:val="22"/>
          <w:szCs w:val="22"/>
        </w:rPr>
      </w:pPr>
    </w:p>
    <w:p w14:paraId="19D054A5" w14:textId="77777777" w:rsidR="00130A66" w:rsidRPr="00130A66" w:rsidRDefault="00130A66" w:rsidP="00130A66">
      <w:pPr>
        <w:pStyle w:val="BodyText"/>
        <w:rPr>
          <w:rFonts w:ascii="Arial" w:hAnsi="Arial" w:cs="Arial"/>
          <w:sz w:val="22"/>
          <w:szCs w:val="22"/>
        </w:rPr>
      </w:pPr>
    </w:p>
    <w:p w14:paraId="684BF04B" w14:textId="77777777" w:rsidR="00130A66" w:rsidRPr="00130A66" w:rsidRDefault="00130A66" w:rsidP="00130A66">
      <w:pPr>
        <w:pStyle w:val="BodyText"/>
        <w:rPr>
          <w:rFonts w:ascii="Arial" w:hAnsi="Arial" w:cs="Arial"/>
          <w:sz w:val="22"/>
          <w:szCs w:val="22"/>
        </w:rPr>
      </w:pPr>
      <w:r w:rsidRPr="00130A66">
        <w:rPr>
          <w:rFonts w:ascii="Arial" w:hAnsi="Arial" w:cs="Arial"/>
          <w:sz w:val="22"/>
          <w:szCs w:val="22"/>
        </w:rPr>
        <w:t>Yours faithfully</w:t>
      </w:r>
    </w:p>
    <w:p w14:paraId="444E497C" w14:textId="77777777" w:rsidR="00130A66" w:rsidRPr="00130A66" w:rsidRDefault="00130A66" w:rsidP="00130A66">
      <w:pPr>
        <w:pStyle w:val="BodyText"/>
        <w:rPr>
          <w:rFonts w:ascii="Arial" w:hAnsi="Arial" w:cs="Arial"/>
          <w:sz w:val="22"/>
          <w:szCs w:val="22"/>
        </w:rPr>
      </w:pPr>
    </w:p>
    <w:p w14:paraId="0A65E487" w14:textId="77777777" w:rsidR="00130A66" w:rsidRPr="00130A66" w:rsidRDefault="00130A66" w:rsidP="00130A66">
      <w:pPr>
        <w:pStyle w:val="BodyText"/>
        <w:rPr>
          <w:rFonts w:ascii="Arial" w:hAnsi="Arial" w:cs="Arial"/>
          <w:sz w:val="22"/>
          <w:szCs w:val="22"/>
        </w:rPr>
      </w:pPr>
    </w:p>
    <w:p w14:paraId="4D0479E6" w14:textId="77777777" w:rsidR="00130A66" w:rsidRPr="00130A66" w:rsidRDefault="00130A66" w:rsidP="00130A66">
      <w:pPr>
        <w:autoSpaceDE w:val="0"/>
        <w:autoSpaceDN w:val="0"/>
        <w:adjustRightInd w:val="0"/>
        <w:jc w:val="both"/>
        <w:rPr>
          <w:rFonts w:ascii="Arial" w:hAnsi="Arial" w:cs="Arial"/>
          <w:sz w:val="22"/>
          <w:szCs w:val="22"/>
        </w:rPr>
      </w:pPr>
      <w:r w:rsidRPr="00130A66">
        <w:rPr>
          <w:rFonts w:ascii="Arial" w:hAnsi="Arial" w:cs="Arial"/>
          <w:sz w:val="22"/>
          <w:szCs w:val="22"/>
        </w:rPr>
        <w:t>Name:</w:t>
      </w:r>
      <w:r w:rsidRPr="00130A66">
        <w:rPr>
          <w:rFonts w:ascii="Arial" w:hAnsi="Arial" w:cs="Arial"/>
          <w:sz w:val="22"/>
          <w:szCs w:val="22"/>
        </w:rPr>
        <w:tab/>
      </w:r>
      <w:r w:rsidRPr="00130A66">
        <w:rPr>
          <w:rFonts w:ascii="Arial" w:hAnsi="Arial" w:cs="Arial"/>
          <w:sz w:val="22"/>
          <w:szCs w:val="22"/>
        </w:rPr>
        <w:tab/>
        <w:t>Councillor Ian Watkinson</w:t>
      </w:r>
    </w:p>
    <w:p w14:paraId="3FC5456C" w14:textId="77777777" w:rsidR="00130A66" w:rsidRPr="00130A66" w:rsidRDefault="00130A66" w:rsidP="00130A66">
      <w:pPr>
        <w:autoSpaceDE w:val="0"/>
        <w:autoSpaceDN w:val="0"/>
        <w:adjustRightInd w:val="0"/>
        <w:jc w:val="both"/>
        <w:rPr>
          <w:rFonts w:ascii="Arial" w:hAnsi="Arial" w:cs="Arial"/>
          <w:sz w:val="22"/>
          <w:szCs w:val="22"/>
        </w:rPr>
      </w:pPr>
    </w:p>
    <w:p w14:paraId="0E05040C" w14:textId="77777777" w:rsidR="00130A66" w:rsidRPr="00130A66" w:rsidRDefault="00130A66" w:rsidP="00130A66">
      <w:pPr>
        <w:autoSpaceDE w:val="0"/>
        <w:autoSpaceDN w:val="0"/>
        <w:adjustRightInd w:val="0"/>
        <w:jc w:val="both"/>
        <w:rPr>
          <w:rFonts w:ascii="Arial" w:hAnsi="Arial" w:cs="Arial"/>
          <w:sz w:val="22"/>
          <w:szCs w:val="22"/>
        </w:rPr>
      </w:pPr>
    </w:p>
    <w:p w14:paraId="71790298" w14:textId="77777777" w:rsidR="00130A66" w:rsidRPr="00130A66" w:rsidRDefault="00130A66" w:rsidP="00130A66">
      <w:pPr>
        <w:autoSpaceDE w:val="0"/>
        <w:autoSpaceDN w:val="0"/>
        <w:adjustRightInd w:val="0"/>
        <w:jc w:val="both"/>
        <w:rPr>
          <w:rFonts w:ascii="Arial" w:hAnsi="Arial" w:cs="Arial"/>
          <w:sz w:val="22"/>
          <w:szCs w:val="22"/>
        </w:rPr>
      </w:pPr>
      <w:r w:rsidRPr="00130A66">
        <w:rPr>
          <w:rFonts w:ascii="Arial" w:hAnsi="Arial" w:cs="Arial"/>
          <w:sz w:val="22"/>
          <w:szCs w:val="22"/>
        </w:rPr>
        <w:t>Position:</w:t>
      </w:r>
      <w:r w:rsidRPr="00130A66">
        <w:rPr>
          <w:rFonts w:ascii="Arial" w:hAnsi="Arial" w:cs="Arial"/>
          <w:sz w:val="22"/>
          <w:szCs w:val="22"/>
        </w:rPr>
        <w:tab/>
        <w:t xml:space="preserve">Chair of Governance Committee </w:t>
      </w:r>
    </w:p>
    <w:p w14:paraId="4A6570F0" w14:textId="77777777" w:rsidR="00130A66" w:rsidRPr="00130A66" w:rsidRDefault="00130A66" w:rsidP="00130A66">
      <w:pPr>
        <w:autoSpaceDE w:val="0"/>
        <w:autoSpaceDN w:val="0"/>
        <w:adjustRightInd w:val="0"/>
        <w:jc w:val="both"/>
        <w:rPr>
          <w:rFonts w:ascii="Arial" w:hAnsi="Arial" w:cs="Arial"/>
          <w:sz w:val="22"/>
          <w:szCs w:val="22"/>
        </w:rPr>
      </w:pPr>
    </w:p>
    <w:p w14:paraId="30AA7A6F" w14:textId="77777777" w:rsidR="00130A66" w:rsidRPr="00130A66" w:rsidRDefault="00130A66" w:rsidP="00130A66">
      <w:pPr>
        <w:autoSpaceDE w:val="0"/>
        <w:autoSpaceDN w:val="0"/>
        <w:adjustRightInd w:val="0"/>
        <w:jc w:val="both"/>
        <w:rPr>
          <w:rFonts w:ascii="Arial" w:hAnsi="Arial" w:cs="Arial"/>
          <w:sz w:val="22"/>
          <w:szCs w:val="22"/>
        </w:rPr>
      </w:pPr>
    </w:p>
    <w:p w14:paraId="1727C699" w14:textId="77777777" w:rsidR="00130A66" w:rsidRPr="00130A66" w:rsidRDefault="00130A66" w:rsidP="00130A66">
      <w:pPr>
        <w:autoSpaceDE w:val="0"/>
        <w:autoSpaceDN w:val="0"/>
        <w:adjustRightInd w:val="0"/>
        <w:jc w:val="both"/>
        <w:rPr>
          <w:rFonts w:ascii="Arial" w:hAnsi="Arial" w:cs="Arial"/>
          <w:sz w:val="22"/>
          <w:szCs w:val="22"/>
        </w:rPr>
      </w:pPr>
      <w:r w:rsidRPr="00130A66">
        <w:rPr>
          <w:rFonts w:ascii="Arial" w:hAnsi="Arial" w:cs="Arial"/>
          <w:sz w:val="22"/>
          <w:szCs w:val="22"/>
        </w:rPr>
        <w:t>Date:</w:t>
      </w:r>
      <w:r w:rsidRPr="00130A66">
        <w:rPr>
          <w:rFonts w:ascii="Arial" w:hAnsi="Arial" w:cs="Arial"/>
          <w:sz w:val="22"/>
          <w:szCs w:val="22"/>
        </w:rPr>
        <w:tab/>
      </w:r>
      <w:r w:rsidRPr="00130A66">
        <w:rPr>
          <w:rFonts w:ascii="Arial" w:hAnsi="Arial" w:cs="Arial"/>
          <w:sz w:val="22"/>
          <w:szCs w:val="22"/>
        </w:rPr>
        <w:tab/>
      </w:r>
    </w:p>
    <w:p w14:paraId="6BFA9FFD" w14:textId="77777777" w:rsidR="00130A66" w:rsidRPr="00130A66" w:rsidRDefault="00130A66" w:rsidP="00130A66">
      <w:pPr>
        <w:autoSpaceDE w:val="0"/>
        <w:autoSpaceDN w:val="0"/>
        <w:adjustRightInd w:val="0"/>
        <w:jc w:val="both"/>
        <w:rPr>
          <w:rFonts w:ascii="Arial" w:hAnsi="Arial" w:cs="Arial"/>
          <w:sz w:val="22"/>
          <w:szCs w:val="22"/>
        </w:rPr>
      </w:pPr>
    </w:p>
    <w:p w14:paraId="08D8A6E6" w14:textId="77777777" w:rsidR="00130A66" w:rsidRPr="00130A66" w:rsidRDefault="00130A66" w:rsidP="00130A66">
      <w:pPr>
        <w:autoSpaceDE w:val="0"/>
        <w:autoSpaceDN w:val="0"/>
        <w:adjustRightInd w:val="0"/>
        <w:jc w:val="both"/>
        <w:rPr>
          <w:rFonts w:ascii="Arial" w:hAnsi="Arial" w:cs="Arial"/>
          <w:sz w:val="22"/>
          <w:szCs w:val="22"/>
        </w:rPr>
      </w:pPr>
    </w:p>
    <w:p w14:paraId="7A876DF0" w14:textId="77777777" w:rsidR="00130A66" w:rsidRPr="00130A66" w:rsidRDefault="00130A66" w:rsidP="00130A66">
      <w:pPr>
        <w:autoSpaceDE w:val="0"/>
        <w:autoSpaceDN w:val="0"/>
        <w:adjustRightInd w:val="0"/>
        <w:jc w:val="both"/>
        <w:rPr>
          <w:rFonts w:ascii="Arial" w:hAnsi="Arial" w:cs="Arial"/>
          <w:sz w:val="22"/>
          <w:szCs w:val="22"/>
        </w:rPr>
      </w:pPr>
    </w:p>
    <w:p w14:paraId="38918CB8" w14:textId="77777777" w:rsidR="00130A66" w:rsidRPr="00130A66" w:rsidRDefault="00130A66" w:rsidP="00130A66">
      <w:pPr>
        <w:autoSpaceDE w:val="0"/>
        <w:autoSpaceDN w:val="0"/>
        <w:adjustRightInd w:val="0"/>
        <w:jc w:val="both"/>
        <w:rPr>
          <w:rFonts w:ascii="Arial" w:hAnsi="Arial" w:cs="Arial"/>
          <w:sz w:val="22"/>
          <w:szCs w:val="22"/>
        </w:rPr>
      </w:pPr>
      <w:r w:rsidRPr="00130A66">
        <w:rPr>
          <w:rFonts w:ascii="Arial" w:hAnsi="Arial" w:cs="Arial"/>
          <w:sz w:val="22"/>
          <w:szCs w:val="22"/>
        </w:rPr>
        <w:t>Name:</w:t>
      </w:r>
      <w:r w:rsidRPr="00130A66">
        <w:rPr>
          <w:rFonts w:ascii="Arial" w:hAnsi="Arial" w:cs="Arial"/>
          <w:sz w:val="22"/>
          <w:szCs w:val="22"/>
        </w:rPr>
        <w:tab/>
      </w:r>
      <w:r w:rsidRPr="00130A66">
        <w:rPr>
          <w:rFonts w:ascii="Arial" w:hAnsi="Arial" w:cs="Arial"/>
          <w:sz w:val="22"/>
          <w:szCs w:val="22"/>
        </w:rPr>
        <w:tab/>
        <w:t>Louise Mattinson</w:t>
      </w:r>
    </w:p>
    <w:p w14:paraId="42D0447D" w14:textId="77777777" w:rsidR="00130A66" w:rsidRPr="00130A66" w:rsidRDefault="00130A66" w:rsidP="00130A66">
      <w:pPr>
        <w:autoSpaceDE w:val="0"/>
        <w:autoSpaceDN w:val="0"/>
        <w:adjustRightInd w:val="0"/>
        <w:jc w:val="both"/>
        <w:rPr>
          <w:rFonts w:ascii="Arial" w:hAnsi="Arial" w:cs="Arial"/>
          <w:sz w:val="22"/>
          <w:szCs w:val="22"/>
        </w:rPr>
      </w:pPr>
    </w:p>
    <w:p w14:paraId="4AE03A7D" w14:textId="77777777" w:rsidR="00130A66" w:rsidRPr="00130A66" w:rsidRDefault="00130A66" w:rsidP="00130A66">
      <w:pPr>
        <w:autoSpaceDE w:val="0"/>
        <w:autoSpaceDN w:val="0"/>
        <w:adjustRightInd w:val="0"/>
        <w:jc w:val="both"/>
        <w:rPr>
          <w:rFonts w:ascii="Arial" w:hAnsi="Arial" w:cs="Arial"/>
          <w:sz w:val="22"/>
          <w:szCs w:val="22"/>
        </w:rPr>
      </w:pPr>
    </w:p>
    <w:p w14:paraId="1730A767" w14:textId="77777777" w:rsidR="00130A66" w:rsidRPr="00130A66" w:rsidRDefault="00130A66" w:rsidP="00130A66">
      <w:pPr>
        <w:autoSpaceDE w:val="0"/>
        <w:autoSpaceDN w:val="0"/>
        <w:adjustRightInd w:val="0"/>
        <w:jc w:val="both"/>
        <w:rPr>
          <w:rFonts w:ascii="Arial" w:hAnsi="Arial" w:cs="Arial"/>
          <w:sz w:val="22"/>
          <w:szCs w:val="22"/>
        </w:rPr>
      </w:pPr>
    </w:p>
    <w:p w14:paraId="4092D3AA" w14:textId="77777777" w:rsidR="00130A66" w:rsidRPr="00130A66" w:rsidRDefault="00130A66" w:rsidP="00130A66">
      <w:pPr>
        <w:autoSpaceDE w:val="0"/>
        <w:autoSpaceDN w:val="0"/>
        <w:adjustRightInd w:val="0"/>
        <w:jc w:val="both"/>
        <w:rPr>
          <w:rFonts w:ascii="Arial" w:hAnsi="Arial" w:cs="Arial"/>
          <w:sz w:val="22"/>
          <w:szCs w:val="22"/>
        </w:rPr>
      </w:pPr>
      <w:r w:rsidRPr="00130A66">
        <w:rPr>
          <w:rFonts w:ascii="Arial" w:hAnsi="Arial" w:cs="Arial"/>
          <w:sz w:val="22"/>
          <w:szCs w:val="22"/>
        </w:rPr>
        <w:t>Position:</w:t>
      </w:r>
      <w:r w:rsidRPr="00130A66">
        <w:rPr>
          <w:rFonts w:ascii="Arial" w:hAnsi="Arial" w:cs="Arial"/>
          <w:sz w:val="22"/>
          <w:szCs w:val="22"/>
        </w:rPr>
        <w:tab/>
        <w:t>Director of Finance (S151 Officer)</w:t>
      </w:r>
    </w:p>
    <w:p w14:paraId="5BCEF1E7" w14:textId="77777777" w:rsidR="00130A66" w:rsidRPr="00130A66" w:rsidRDefault="00130A66" w:rsidP="00130A66">
      <w:pPr>
        <w:tabs>
          <w:tab w:val="left" w:pos="1134"/>
          <w:tab w:val="left" w:pos="1276"/>
          <w:tab w:val="left" w:pos="3261"/>
        </w:tabs>
        <w:jc w:val="both"/>
        <w:rPr>
          <w:rFonts w:ascii="Arial" w:hAnsi="Arial" w:cs="Arial"/>
          <w:sz w:val="22"/>
          <w:szCs w:val="22"/>
        </w:rPr>
      </w:pPr>
    </w:p>
    <w:p w14:paraId="51E0DDCE" w14:textId="77777777" w:rsidR="00130A66" w:rsidRPr="00130A66" w:rsidRDefault="00130A66" w:rsidP="00130A66">
      <w:pPr>
        <w:tabs>
          <w:tab w:val="left" w:pos="1418"/>
          <w:tab w:val="left" w:pos="3261"/>
        </w:tabs>
        <w:jc w:val="both"/>
        <w:rPr>
          <w:rFonts w:ascii="Arial" w:hAnsi="Arial" w:cs="Arial"/>
          <w:sz w:val="22"/>
          <w:szCs w:val="22"/>
        </w:rPr>
      </w:pPr>
    </w:p>
    <w:p w14:paraId="2D232042" w14:textId="0E865112" w:rsidR="00130A66" w:rsidRPr="00130A66" w:rsidRDefault="00130A66" w:rsidP="00130A66">
      <w:pPr>
        <w:tabs>
          <w:tab w:val="left" w:pos="1418"/>
          <w:tab w:val="left" w:pos="3261"/>
        </w:tabs>
        <w:jc w:val="both"/>
        <w:rPr>
          <w:rFonts w:ascii="Arial" w:hAnsi="Arial" w:cs="Arial"/>
          <w:sz w:val="22"/>
          <w:szCs w:val="22"/>
        </w:rPr>
      </w:pPr>
      <w:r w:rsidRPr="00130A66">
        <w:rPr>
          <w:rFonts w:ascii="Arial" w:hAnsi="Arial" w:cs="Arial"/>
          <w:sz w:val="22"/>
          <w:szCs w:val="22"/>
        </w:rPr>
        <w:t>Date:</w:t>
      </w:r>
      <w:r w:rsidRPr="00130A66">
        <w:rPr>
          <w:rFonts w:ascii="Arial" w:hAnsi="Arial" w:cs="Arial"/>
          <w:sz w:val="22"/>
          <w:szCs w:val="22"/>
        </w:rPr>
        <w:tab/>
      </w:r>
      <w:r w:rsidRPr="00130A66">
        <w:rPr>
          <w:rFonts w:ascii="Arial" w:hAnsi="Arial" w:cs="Arial"/>
          <w:sz w:val="22"/>
          <w:szCs w:val="22"/>
        </w:rPr>
        <w:tab/>
        <w:t xml:space="preserve">  </w:t>
      </w:r>
    </w:p>
    <w:p w14:paraId="379948B0" w14:textId="77777777" w:rsidR="00130A66" w:rsidRPr="00130A66" w:rsidRDefault="00130A66" w:rsidP="00130A66">
      <w:pPr>
        <w:spacing w:line="360" w:lineRule="auto"/>
        <w:jc w:val="both"/>
        <w:rPr>
          <w:rFonts w:ascii="Arial" w:hAnsi="Arial" w:cs="Arial"/>
          <w:sz w:val="22"/>
          <w:szCs w:val="22"/>
        </w:rPr>
      </w:pPr>
    </w:p>
    <w:p w14:paraId="486A1D3C" w14:textId="77777777" w:rsidR="00130A66" w:rsidRPr="00130A66" w:rsidRDefault="00130A66" w:rsidP="00130A66">
      <w:pPr>
        <w:pStyle w:val="BodyText"/>
        <w:rPr>
          <w:rFonts w:ascii="Arial" w:hAnsi="Arial" w:cs="Arial"/>
          <w:sz w:val="22"/>
          <w:szCs w:val="22"/>
        </w:rPr>
      </w:pPr>
    </w:p>
    <w:p w14:paraId="29F06D87" w14:textId="77777777" w:rsidR="00130A66" w:rsidRPr="00130A66" w:rsidRDefault="00130A66" w:rsidP="00130A66">
      <w:pPr>
        <w:pStyle w:val="LetterSubHeading1Black"/>
        <w:rPr>
          <w:rFonts w:ascii="Arial" w:hAnsi="Arial" w:cs="Arial"/>
          <w:sz w:val="22"/>
          <w:szCs w:val="22"/>
        </w:rPr>
      </w:pPr>
      <w:r w:rsidRPr="00130A66">
        <w:rPr>
          <w:rFonts w:ascii="Arial" w:hAnsi="Arial" w:cs="Arial"/>
          <w:sz w:val="22"/>
          <w:szCs w:val="22"/>
        </w:rPr>
        <w:t>Signed on behalf of the Council</w:t>
      </w:r>
    </w:p>
    <w:p w14:paraId="563E8891" w14:textId="51C5E4FD" w:rsidR="00130A66" w:rsidRDefault="00130A66" w:rsidP="00130A66">
      <w:pPr>
        <w:pStyle w:val="BodyText"/>
        <w:rPr>
          <w:rFonts w:ascii="Arial" w:hAnsi="Arial" w:cs="Arial"/>
          <w:color w:val="FF0000"/>
          <w:sz w:val="22"/>
          <w:szCs w:val="22"/>
        </w:rPr>
      </w:pPr>
    </w:p>
    <w:p w14:paraId="2FEEA2EA" w14:textId="2B0EE0B7" w:rsidR="00F56234" w:rsidRDefault="00F56234" w:rsidP="00130A66">
      <w:pPr>
        <w:pStyle w:val="BodyText"/>
        <w:rPr>
          <w:rFonts w:ascii="Arial" w:hAnsi="Arial" w:cs="Arial"/>
          <w:color w:val="FF0000"/>
          <w:sz w:val="22"/>
          <w:szCs w:val="22"/>
        </w:rPr>
      </w:pPr>
    </w:p>
    <w:p w14:paraId="74CF8C2B" w14:textId="59413698" w:rsidR="00F56234" w:rsidRDefault="00F56234" w:rsidP="00130A66">
      <w:pPr>
        <w:pStyle w:val="BodyText"/>
        <w:rPr>
          <w:rFonts w:ascii="Arial" w:hAnsi="Arial" w:cs="Arial"/>
          <w:color w:val="FF0000"/>
          <w:sz w:val="22"/>
          <w:szCs w:val="22"/>
        </w:rPr>
      </w:pPr>
    </w:p>
    <w:p w14:paraId="35D8517E" w14:textId="46BB144F" w:rsidR="00F56234" w:rsidRDefault="00F56234" w:rsidP="00130A66">
      <w:pPr>
        <w:pStyle w:val="BodyText"/>
        <w:rPr>
          <w:rFonts w:ascii="Arial" w:hAnsi="Arial" w:cs="Arial"/>
          <w:color w:val="FF0000"/>
          <w:sz w:val="22"/>
          <w:szCs w:val="22"/>
        </w:rPr>
      </w:pPr>
    </w:p>
    <w:p w14:paraId="1206E3C2" w14:textId="2D5C40C6" w:rsidR="00F56234" w:rsidRDefault="00F56234" w:rsidP="00130A66">
      <w:pPr>
        <w:pStyle w:val="BodyText"/>
        <w:rPr>
          <w:rFonts w:ascii="Arial" w:hAnsi="Arial" w:cs="Arial"/>
          <w:color w:val="FF0000"/>
          <w:sz w:val="22"/>
          <w:szCs w:val="22"/>
        </w:rPr>
      </w:pPr>
    </w:p>
    <w:p w14:paraId="472DC7B7" w14:textId="4253A4E0" w:rsidR="00F56234" w:rsidRDefault="00F56234" w:rsidP="00130A66">
      <w:pPr>
        <w:pStyle w:val="BodyText"/>
        <w:rPr>
          <w:rFonts w:ascii="Arial" w:hAnsi="Arial" w:cs="Arial"/>
          <w:color w:val="FF0000"/>
          <w:sz w:val="22"/>
          <w:szCs w:val="22"/>
        </w:rPr>
      </w:pPr>
    </w:p>
    <w:p w14:paraId="1DE906B6" w14:textId="0FB325B9" w:rsidR="00F56234" w:rsidRDefault="00F56234" w:rsidP="00130A66">
      <w:pPr>
        <w:pStyle w:val="BodyText"/>
        <w:rPr>
          <w:rFonts w:ascii="Arial" w:hAnsi="Arial" w:cs="Arial"/>
          <w:color w:val="FF0000"/>
          <w:sz w:val="22"/>
          <w:szCs w:val="22"/>
        </w:rPr>
      </w:pPr>
    </w:p>
    <w:p w14:paraId="66BAE71F" w14:textId="2B4183F4" w:rsidR="00F56234" w:rsidRDefault="00F56234" w:rsidP="00130A66">
      <w:pPr>
        <w:pStyle w:val="BodyText"/>
        <w:rPr>
          <w:rFonts w:ascii="Arial" w:hAnsi="Arial" w:cs="Arial"/>
          <w:color w:val="FF0000"/>
          <w:sz w:val="22"/>
          <w:szCs w:val="22"/>
        </w:rPr>
      </w:pPr>
    </w:p>
    <w:p w14:paraId="0B6FEC81" w14:textId="5FD0C191" w:rsidR="00F56234" w:rsidRDefault="00F56234" w:rsidP="00130A66">
      <w:pPr>
        <w:pStyle w:val="BodyText"/>
        <w:rPr>
          <w:rFonts w:ascii="Arial" w:hAnsi="Arial" w:cs="Arial"/>
          <w:color w:val="FF0000"/>
          <w:sz w:val="22"/>
          <w:szCs w:val="22"/>
        </w:rPr>
      </w:pPr>
    </w:p>
    <w:p w14:paraId="669EB40F" w14:textId="716EA23A" w:rsidR="00F56234" w:rsidRDefault="00F56234" w:rsidP="00130A66">
      <w:pPr>
        <w:pStyle w:val="BodyText"/>
        <w:rPr>
          <w:rFonts w:ascii="Arial" w:hAnsi="Arial" w:cs="Arial"/>
          <w:color w:val="FF0000"/>
          <w:sz w:val="22"/>
          <w:szCs w:val="22"/>
        </w:rPr>
      </w:pPr>
    </w:p>
    <w:p w14:paraId="3C5271CC" w14:textId="41E47A26" w:rsidR="00F56234" w:rsidRDefault="00F56234" w:rsidP="00130A66">
      <w:pPr>
        <w:pStyle w:val="BodyText"/>
        <w:rPr>
          <w:rFonts w:ascii="Arial" w:hAnsi="Arial" w:cs="Arial"/>
          <w:color w:val="FF0000"/>
          <w:sz w:val="22"/>
          <w:szCs w:val="22"/>
        </w:rPr>
      </w:pPr>
    </w:p>
    <w:p w14:paraId="752ED1E1" w14:textId="203688EB" w:rsidR="00F56234" w:rsidRDefault="00F56234" w:rsidP="00130A66">
      <w:pPr>
        <w:pStyle w:val="BodyText"/>
        <w:rPr>
          <w:rFonts w:ascii="Arial" w:hAnsi="Arial" w:cs="Arial"/>
          <w:color w:val="FF0000"/>
          <w:sz w:val="22"/>
          <w:szCs w:val="22"/>
        </w:rPr>
      </w:pPr>
    </w:p>
    <w:p w14:paraId="672F73AA" w14:textId="227527DC" w:rsidR="00F56234" w:rsidRDefault="00F56234" w:rsidP="00130A66">
      <w:pPr>
        <w:pStyle w:val="BodyText"/>
        <w:rPr>
          <w:rFonts w:ascii="Arial" w:hAnsi="Arial" w:cs="Arial"/>
          <w:color w:val="FF0000"/>
          <w:sz w:val="22"/>
          <w:szCs w:val="22"/>
        </w:rPr>
      </w:pPr>
    </w:p>
    <w:p w14:paraId="0386FA5E" w14:textId="6C3F9AA6" w:rsidR="00F56234" w:rsidRDefault="00F56234" w:rsidP="00130A66">
      <w:pPr>
        <w:pStyle w:val="BodyText"/>
        <w:rPr>
          <w:rFonts w:ascii="Arial" w:hAnsi="Arial" w:cs="Arial"/>
          <w:color w:val="FF0000"/>
          <w:sz w:val="22"/>
          <w:szCs w:val="22"/>
        </w:rPr>
      </w:pPr>
    </w:p>
    <w:p w14:paraId="5F1CBC7A" w14:textId="6C777CFE" w:rsidR="00F56234" w:rsidRDefault="00F56234" w:rsidP="00130A66">
      <w:pPr>
        <w:pStyle w:val="BodyText"/>
        <w:rPr>
          <w:rFonts w:ascii="Arial" w:hAnsi="Arial" w:cs="Arial"/>
          <w:color w:val="FF0000"/>
          <w:sz w:val="22"/>
          <w:szCs w:val="22"/>
        </w:rPr>
      </w:pPr>
    </w:p>
    <w:p w14:paraId="3F0312F6" w14:textId="73FB366A" w:rsidR="00F56234" w:rsidRDefault="00F56234" w:rsidP="00130A66">
      <w:pPr>
        <w:pStyle w:val="BodyText"/>
        <w:rPr>
          <w:rFonts w:ascii="Arial" w:hAnsi="Arial" w:cs="Arial"/>
          <w:color w:val="FF0000"/>
          <w:sz w:val="22"/>
          <w:szCs w:val="22"/>
        </w:rPr>
      </w:pPr>
    </w:p>
    <w:p w14:paraId="0763728D" w14:textId="0D2E5063" w:rsidR="00F56234" w:rsidRDefault="00F56234" w:rsidP="00130A66">
      <w:pPr>
        <w:pStyle w:val="BodyText"/>
        <w:rPr>
          <w:rFonts w:ascii="Arial" w:hAnsi="Arial" w:cs="Arial"/>
          <w:color w:val="FF0000"/>
          <w:sz w:val="22"/>
          <w:szCs w:val="22"/>
        </w:rPr>
      </w:pPr>
    </w:p>
    <w:p w14:paraId="54F33CF3" w14:textId="77777777" w:rsidR="00F56234" w:rsidRPr="00130A66" w:rsidRDefault="00F56234" w:rsidP="00130A66">
      <w:pPr>
        <w:pStyle w:val="BodyText"/>
        <w:rPr>
          <w:rFonts w:ascii="Arial" w:hAnsi="Arial" w:cs="Arial"/>
          <w:color w:val="FF0000"/>
          <w:sz w:val="22"/>
          <w:szCs w:val="22"/>
        </w:rPr>
      </w:pPr>
    </w:p>
    <w:p w14:paraId="2A4A215C" w14:textId="309C0D88" w:rsidR="00F56234" w:rsidRPr="001D240D" w:rsidRDefault="00F56234" w:rsidP="00F56234">
      <w:pPr>
        <w:pStyle w:val="BodyText"/>
        <w:rPr>
          <w:rFonts w:ascii="Arial" w:hAnsi="Arial" w:cs="Arial"/>
          <w:b/>
          <w:bCs/>
          <w:sz w:val="22"/>
          <w:szCs w:val="22"/>
        </w:rPr>
      </w:pPr>
      <w:r w:rsidRPr="001D240D">
        <w:rPr>
          <w:rFonts w:ascii="Arial" w:hAnsi="Arial" w:cs="Arial"/>
          <w:b/>
          <w:bCs/>
          <w:sz w:val="22"/>
          <w:szCs w:val="22"/>
        </w:rPr>
        <w:t xml:space="preserve">Appendix </w:t>
      </w:r>
      <w:r>
        <w:rPr>
          <w:rFonts w:ascii="Arial" w:hAnsi="Arial" w:cs="Arial"/>
          <w:b/>
          <w:bCs/>
          <w:sz w:val="22"/>
          <w:szCs w:val="22"/>
        </w:rPr>
        <w:t>1</w:t>
      </w:r>
      <w:r w:rsidRPr="001D240D">
        <w:rPr>
          <w:rFonts w:ascii="Arial" w:hAnsi="Arial" w:cs="Arial"/>
          <w:b/>
          <w:bCs/>
          <w:sz w:val="22"/>
          <w:szCs w:val="22"/>
        </w:rPr>
        <w:t>: Unadjusted misstatements</w:t>
      </w:r>
    </w:p>
    <w:p w14:paraId="78EE8C07" w14:textId="77777777" w:rsidR="00F56234" w:rsidRPr="001D240D" w:rsidRDefault="00F56234" w:rsidP="00F56234">
      <w:pPr>
        <w:pStyle w:val="BodyText"/>
        <w:rPr>
          <w:rFonts w:ascii="Arial" w:hAnsi="Arial" w:cs="Arial"/>
          <w:sz w:val="22"/>
          <w:szCs w:val="22"/>
        </w:rPr>
      </w:pPr>
    </w:p>
    <w:p w14:paraId="727EDEED" w14:textId="77777777" w:rsidR="00F56234" w:rsidRDefault="00F56234" w:rsidP="00F56234">
      <w:pPr>
        <w:pStyle w:val="BodyText"/>
        <w:rPr>
          <w:rFonts w:ascii="Arial" w:hAnsi="Arial" w:cs="Arial"/>
          <w:sz w:val="22"/>
          <w:szCs w:val="22"/>
        </w:rPr>
      </w:pPr>
      <w:r w:rsidRPr="00E572B0">
        <w:rPr>
          <w:rFonts w:ascii="Arial" w:hAnsi="Arial" w:cs="Arial"/>
          <w:sz w:val="22"/>
          <w:szCs w:val="22"/>
        </w:rPr>
        <w:t>The table below provides details of adjustments identified during the 2021/22 audit which have not been made within the final set of financial statements. The Governance Committee is required to approve management’s proposed treatment of all items recorded within the table below.</w:t>
      </w:r>
    </w:p>
    <w:p w14:paraId="083B2A01" w14:textId="77777777" w:rsidR="00F56234" w:rsidRPr="00E572B0" w:rsidRDefault="00F56234" w:rsidP="00F56234">
      <w:pPr>
        <w:pStyle w:val="BodyText"/>
        <w:rPr>
          <w:rFonts w:ascii="Arial" w:hAnsi="Arial" w:cs="Arial"/>
          <w:sz w:val="22"/>
          <w:szCs w:val="22"/>
        </w:rPr>
      </w:pPr>
    </w:p>
    <w:tbl>
      <w:tblPr>
        <w:tblW w:w="0" w:type="auto"/>
        <w:tblCellMar>
          <w:left w:w="0" w:type="dxa"/>
          <w:right w:w="0" w:type="dxa"/>
        </w:tblCellMar>
        <w:tblLook w:val="0420" w:firstRow="1" w:lastRow="0" w:firstColumn="0" w:lastColumn="0" w:noHBand="0" w:noVBand="1"/>
      </w:tblPr>
      <w:tblGrid>
        <w:gridCol w:w="2960"/>
        <w:gridCol w:w="2343"/>
        <w:gridCol w:w="2362"/>
        <w:gridCol w:w="1360"/>
        <w:gridCol w:w="1040"/>
      </w:tblGrid>
      <w:tr w:rsidR="00F56234" w:rsidRPr="00FB6182" w14:paraId="78526C94" w14:textId="77777777" w:rsidTr="002F6C84">
        <w:trPr>
          <w:trHeight w:val="230"/>
        </w:trPr>
        <w:tc>
          <w:tcPr>
            <w:tcW w:w="0" w:type="auto"/>
            <w:tcBorders>
              <w:top w:val="nil"/>
              <w:left w:val="nil"/>
              <w:bottom w:val="single" w:sz="8" w:space="0" w:color="4F2D7F"/>
              <w:right w:val="nil"/>
            </w:tcBorders>
            <w:tcMar>
              <w:top w:w="85" w:type="dxa"/>
              <w:left w:w="15" w:type="dxa"/>
              <w:bottom w:w="85" w:type="dxa"/>
              <w:right w:w="85" w:type="dxa"/>
            </w:tcMar>
            <w:vAlign w:val="bottom"/>
            <w:hideMark/>
          </w:tcPr>
          <w:p w14:paraId="60C71E3C" w14:textId="77777777" w:rsidR="00F56234" w:rsidRPr="00FB6182" w:rsidRDefault="00F56234" w:rsidP="002F6C84">
            <w:pPr>
              <w:spacing w:after="80"/>
              <w:rPr>
                <w:rFonts w:cs="Arial"/>
                <w:sz w:val="20"/>
                <w:szCs w:val="20"/>
                <w:lang w:val="en-US" w:eastAsia="en-GB"/>
              </w:rPr>
            </w:pPr>
            <w:r w:rsidRPr="00FB6182">
              <w:rPr>
                <w:rFonts w:cs="Arial"/>
                <w:b/>
                <w:bCs/>
                <w:color w:val="4F2D7F"/>
                <w:kern w:val="24"/>
                <w:sz w:val="20"/>
                <w:szCs w:val="20"/>
                <w:lang w:val="en-US" w:eastAsia="en-GB"/>
              </w:rPr>
              <w:t>Detail</w:t>
            </w:r>
          </w:p>
        </w:tc>
        <w:tc>
          <w:tcPr>
            <w:tcW w:w="2343" w:type="dxa"/>
            <w:tcBorders>
              <w:top w:val="nil"/>
              <w:left w:val="nil"/>
              <w:bottom w:val="single" w:sz="8" w:space="0" w:color="4F2D7F"/>
              <w:right w:val="nil"/>
            </w:tcBorders>
            <w:tcMar>
              <w:top w:w="85" w:type="dxa"/>
              <w:left w:w="85" w:type="dxa"/>
              <w:bottom w:w="85" w:type="dxa"/>
              <w:right w:w="85" w:type="dxa"/>
            </w:tcMar>
            <w:vAlign w:val="bottom"/>
            <w:hideMark/>
          </w:tcPr>
          <w:p w14:paraId="51DFD4A3" w14:textId="77777777" w:rsidR="00F56234" w:rsidRPr="00FB6182" w:rsidRDefault="00F56234" w:rsidP="002F6C84">
            <w:pPr>
              <w:spacing w:after="80"/>
              <w:jc w:val="right"/>
              <w:rPr>
                <w:rFonts w:cs="Arial"/>
                <w:b/>
                <w:bCs/>
                <w:color w:val="4F2D7F"/>
                <w:kern w:val="24"/>
                <w:sz w:val="20"/>
                <w:szCs w:val="20"/>
                <w:lang w:val="en-US" w:eastAsia="en-GB"/>
              </w:rPr>
            </w:pPr>
            <w:r w:rsidRPr="00FB6182">
              <w:rPr>
                <w:rFonts w:cs="Arial"/>
                <w:b/>
                <w:bCs/>
                <w:color w:val="4F2D7F"/>
                <w:kern w:val="24"/>
                <w:sz w:val="20"/>
                <w:szCs w:val="20"/>
                <w:lang w:val="en-US" w:eastAsia="en-GB"/>
              </w:rPr>
              <w:t xml:space="preserve">Comprehensive Income and Expenditure Statement </w:t>
            </w:r>
          </w:p>
          <w:p w14:paraId="12ED6030" w14:textId="77777777" w:rsidR="00F56234" w:rsidRPr="00FB6182" w:rsidRDefault="00F56234" w:rsidP="002F6C84">
            <w:pPr>
              <w:spacing w:after="80"/>
              <w:jc w:val="right"/>
              <w:rPr>
                <w:rFonts w:cs="Arial"/>
                <w:sz w:val="20"/>
                <w:szCs w:val="20"/>
                <w:lang w:val="en-US" w:eastAsia="en-GB"/>
              </w:rPr>
            </w:pPr>
            <w:r w:rsidRPr="00FB6182">
              <w:rPr>
                <w:rFonts w:cs="Arial"/>
                <w:b/>
                <w:bCs/>
                <w:color w:val="4F2D7F"/>
                <w:kern w:val="24"/>
                <w:sz w:val="20"/>
                <w:szCs w:val="20"/>
                <w:lang w:val="en-US" w:eastAsia="en-GB"/>
              </w:rPr>
              <w:t>£‘000</w:t>
            </w:r>
          </w:p>
        </w:tc>
        <w:tc>
          <w:tcPr>
            <w:tcW w:w="2362" w:type="dxa"/>
            <w:tcBorders>
              <w:top w:val="nil"/>
              <w:left w:val="nil"/>
              <w:bottom w:val="single" w:sz="8" w:space="0" w:color="4F2D7F"/>
              <w:right w:val="nil"/>
            </w:tcBorders>
            <w:tcMar>
              <w:top w:w="85" w:type="dxa"/>
              <w:left w:w="85" w:type="dxa"/>
              <w:bottom w:w="85" w:type="dxa"/>
              <w:right w:w="85" w:type="dxa"/>
            </w:tcMar>
            <w:vAlign w:val="bottom"/>
            <w:hideMark/>
          </w:tcPr>
          <w:p w14:paraId="378FC54A" w14:textId="77777777" w:rsidR="00F56234" w:rsidRPr="00FB6182" w:rsidRDefault="00F56234" w:rsidP="002F6C84">
            <w:pPr>
              <w:spacing w:after="80"/>
              <w:jc w:val="right"/>
              <w:rPr>
                <w:rFonts w:cs="Arial"/>
                <w:b/>
                <w:bCs/>
                <w:color w:val="4F2D7F"/>
                <w:kern w:val="24"/>
                <w:sz w:val="20"/>
                <w:szCs w:val="20"/>
                <w:lang w:val="en-US" w:eastAsia="en-GB"/>
              </w:rPr>
            </w:pPr>
            <w:r w:rsidRPr="00FB6182">
              <w:rPr>
                <w:rFonts w:cs="Arial"/>
                <w:b/>
                <w:bCs/>
                <w:color w:val="4F2D7F"/>
                <w:kern w:val="24"/>
                <w:sz w:val="20"/>
                <w:szCs w:val="20"/>
                <w:lang w:val="en-US" w:eastAsia="en-GB"/>
              </w:rPr>
              <w:t>Balance Sheet</w:t>
            </w:r>
          </w:p>
          <w:p w14:paraId="21907609" w14:textId="77777777" w:rsidR="00F56234" w:rsidRPr="00FB6182" w:rsidRDefault="00F56234" w:rsidP="002F6C84">
            <w:pPr>
              <w:spacing w:after="80"/>
              <w:jc w:val="right"/>
              <w:rPr>
                <w:rFonts w:cs="Arial"/>
                <w:sz w:val="20"/>
                <w:szCs w:val="20"/>
                <w:lang w:val="en-US" w:eastAsia="en-GB"/>
              </w:rPr>
            </w:pPr>
            <w:r w:rsidRPr="00FB6182">
              <w:rPr>
                <w:rFonts w:cs="Arial"/>
                <w:b/>
                <w:bCs/>
                <w:color w:val="4F2D7F"/>
                <w:kern w:val="24"/>
                <w:sz w:val="20"/>
                <w:szCs w:val="20"/>
                <w:lang w:val="en-US" w:eastAsia="en-GB"/>
              </w:rPr>
              <w:t xml:space="preserve"> £’ 000</w:t>
            </w:r>
          </w:p>
        </w:tc>
        <w:tc>
          <w:tcPr>
            <w:tcW w:w="0" w:type="auto"/>
            <w:tcBorders>
              <w:top w:val="nil"/>
              <w:left w:val="nil"/>
              <w:bottom w:val="single" w:sz="8" w:space="0" w:color="4F2D7F"/>
              <w:right w:val="nil"/>
            </w:tcBorders>
            <w:tcMar>
              <w:top w:w="85" w:type="dxa"/>
              <w:left w:w="85" w:type="dxa"/>
              <w:bottom w:w="85" w:type="dxa"/>
              <w:right w:w="85" w:type="dxa"/>
            </w:tcMar>
            <w:vAlign w:val="bottom"/>
            <w:hideMark/>
          </w:tcPr>
          <w:p w14:paraId="3E0CFC0E" w14:textId="77777777" w:rsidR="00F56234" w:rsidRPr="00FB6182" w:rsidRDefault="00F56234" w:rsidP="002F6C84">
            <w:pPr>
              <w:spacing w:after="80"/>
              <w:jc w:val="right"/>
              <w:rPr>
                <w:rFonts w:cs="Arial"/>
                <w:sz w:val="20"/>
                <w:szCs w:val="20"/>
                <w:lang w:val="en-US" w:eastAsia="en-GB"/>
              </w:rPr>
            </w:pPr>
            <w:r w:rsidRPr="00FB6182">
              <w:rPr>
                <w:rFonts w:cs="Arial"/>
                <w:b/>
                <w:bCs/>
                <w:color w:val="4F2D7F"/>
                <w:kern w:val="24"/>
                <w:sz w:val="20"/>
                <w:szCs w:val="20"/>
                <w:lang w:val="en-US" w:eastAsia="en-GB"/>
              </w:rPr>
              <w:t>Impact on total net expenditure £’000</w:t>
            </w:r>
          </w:p>
        </w:tc>
        <w:tc>
          <w:tcPr>
            <w:tcW w:w="0" w:type="auto"/>
            <w:tcBorders>
              <w:top w:val="nil"/>
              <w:left w:val="nil"/>
              <w:bottom w:val="single" w:sz="8" w:space="0" w:color="4F2D7F"/>
              <w:right w:val="nil"/>
            </w:tcBorders>
            <w:tcMar>
              <w:top w:w="85" w:type="dxa"/>
              <w:left w:w="85" w:type="dxa"/>
              <w:bottom w:w="85" w:type="dxa"/>
              <w:right w:w="85" w:type="dxa"/>
            </w:tcMar>
            <w:vAlign w:val="bottom"/>
            <w:hideMark/>
          </w:tcPr>
          <w:p w14:paraId="132E7530" w14:textId="77777777" w:rsidR="00F56234" w:rsidRPr="00FB6182" w:rsidRDefault="00F56234" w:rsidP="002F6C84">
            <w:pPr>
              <w:spacing w:after="80"/>
              <w:rPr>
                <w:rFonts w:cs="Arial"/>
                <w:sz w:val="20"/>
                <w:szCs w:val="20"/>
                <w:lang w:val="en-US" w:eastAsia="en-GB"/>
              </w:rPr>
            </w:pPr>
            <w:r w:rsidRPr="00FB6182">
              <w:rPr>
                <w:rFonts w:cs="Arial"/>
                <w:b/>
                <w:bCs/>
                <w:color w:val="4F2D7F"/>
                <w:kern w:val="24"/>
                <w:sz w:val="20"/>
                <w:szCs w:val="20"/>
                <w:lang w:val="en-US" w:eastAsia="en-GB"/>
              </w:rPr>
              <w:t>Reason for not adjusting</w:t>
            </w:r>
          </w:p>
        </w:tc>
      </w:tr>
      <w:tr w:rsidR="00F56234" w:rsidRPr="00FB6182" w14:paraId="5794F0C0" w14:textId="77777777" w:rsidTr="002F6C84">
        <w:tc>
          <w:tcPr>
            <w:tcW w:w="0" w:type="auto"/>
            <w:tcBorders>
              <w:top w:val="single" w:sz="8" w:space="0" w:color="4F2D7F"/>
              <w:left w:val="nil"/>
              <w:bottom w:val="single" w:sz="8" w:space="0" w:color="4F2D7F"/>
              <w:right w:val="nil"/>
            </w:tcBorders>
            <w:tcMar>
              <w:top w:w="85" w:type="dxa"/>
              <w:left w:w="15" w:type="dxa"/>
              <w:bottom w:w="85" w:type="dxa"/>
              <w:right w:w="85" w:type="dxa"/>
            </w:tcMar>
          </w:tcPr>
          <w:p w14:paraId="0D1C682C" w14:textId="06775E1E" w:rsidR="00F56234" w:rsidRPr="00FB6182" w:rsidRDefault="00F56234" w:rsidP="002F6C84">
            <w:pPr>
              <w:rPr>
                <w:rFonts w:cs="Arial"/>
                <w:color w:val="000000"/>
                <w:kern w:val="24"/>
                <w:sz w:val="20"/>
                <w:szCs w:val="20"/>
                <w:lang w:val="en-US" w:eastAsia="en-GB"/>
              </w:rPr>
            </w:pPr>
            <w:r>
              <w:rPr>
                <w:rFonts w:cs="Arial"/>
                <w:color w:val="000000"/>
                <w:kern w:val="24"/>
                <w:sz w:val="20"/>
                <w:szCs w:val="20"/>
                <w:lang w:val="en-US" w:eastAsia="en-GB"/>
              </w:rPr>
              <w:t>The external audit costs disclosure in Note 31 has been updated to reflect the correct total fees of £84,000 however the overall expenditure in the Comprehensive Income and Expenditure Statement has not been adjusted and is understated by £40,000.</w:t>
            </w:r>
          </w:p>
        </w:tc>
        <w:tc>
          <w:tcPr>
            <w:tcW w:w="2343" w:type="dxa"/>
            <w:tcBorders>
              <w:top w:val="single" w:sz="8" w:space="0" w:color="4F2D7F"/>
              <w:left w:val="nil"/>
              <w:bottom w:val="single" w:sz="8" w:space="0" w:color="4F2D7F"/>
              <w:right w:val="nil"/>
            </w:tcBorders>
            <w:tcMar>
              <w:top w:w="85" w:type="dxa"/>
              <w:left w:w="85" w:type="dxa"/>
              <w:bottom w:w="85" w:type="dxa"/>
              <w:right w:w="85" w:type="dxa"/>
            </w:tcMar>
          </w:tcPr>
          <w:p w14:paraId="15D523F2" w14:textId="776673F3" w:rsidR="00F56234" w:rsidRPr="00FB6182" w:rsidRDefault="00F56234" w:rsidP="00F56234">
            <w:pPr>
              <w:spacing w:after="240"/>
              <w:jc w:val="center"/>
              <w:rPr>
                <w:rFonts w:cs="Arial"/>
                <w:color w:val="000000"/>
                <w:kern w:val="24"/>
                <w:sz w:val="20"/>
                <w:szCs w:val="20"/>
                <w:lang w:val="en-US" w:eastAsia="en-GB"/>
              </w:rPr>
            </w:pPr>
            <w:r>
              <w:rPr>
                <w:rFonts w:cs="Arial"/>
                <w:color w:val="000000"/>
                <w:kern w:val="24"/>
                <w:sz w:val="20"/>
                <w:szCs w:val="20"/>
                <w:lang w:val="en-US" w:eastAsia="en-GB"/>
              </w:rPr>
              <w:t>External Audit cost £40</w:t>
            </w:r>
          </w:p>
        </w:tc>
        <w:tc>
          <w:tcPr>
            <w:tcW w:w="2362" w:type="dxa"/>
            <w:tcBorders>
              <w:top w:val="single" w:sz="8" w:space="0" w:color="4F2D7F"/>
              <w:left w:val="nil"/>
              <w:bottom w:val="single" w:sz="8" w:space="0" w:color="4F2D7F"/>
              <w:right w:val="nil"/>
            </w:tcBorders>
            <w:tcMar>
              <w:top w:w="85" w:type="dxa"/>
              <w:left w:w="85" w:type="dxa"/>
              <w:bottom w:w="85" w:type="dxa"/>
              <w:right w:w="85" w:type="dxa"/>
            </w:tcMar>
          </w:tcPr>
          <w:p w14:paraId="2CD0CB17" w14:textId="175D6709" w:rsidR="00F56234" w:rsidRPr="00FB6182" w:rsidRDefault="00F56234" w:rsidP="00F56234">
            <w:pPr>
              <w:spacing w:after="240"/>
              <w:jc w:val="center"/>
              <w:rPr>
                <w:rFonts w:cs="Arial"/>
                <w:sz w:val="20"/>
                <w:szCs w:val="20"/>
                <w:lang w:val="en-US" w:eastAsia="en-GB"/>
              </w:rPr>
            </w:pPr>
            <w:r>
              <w:rPr>
                <w:rFonts w:cs="Arial"/>
                <w:sz w:val="20"/>
                <w:szCs w:val="20"/>
                <w:lang w:val="en-US" w:eastAsia="en-GB"/>
              </w:rPr>
              <w:t>Accruals (£40)</w:t>
            </w:r>
          </w:p>
          <w:p w14:paraId="2261B984" w14:textId="7A31EF48" w:rsidR="00F56234" w:rsidRPr="00FB6182" w:rsidRDefault="00F56234" w:rsidP="002F6C84">
            <w:pPr>
              <w:spacing w:before="80"/>
              <w:jc w:val="center"/>
              <w:rPr>
                <w:rFonts w:cs="Arial"/>
                <w:sz w:val="20"/>
                <w:szCs w:val="20"/>
                <w:lang w:val="en-US" w:eastAsia="en-GB"/>
              </w:rPr>
            </w:pPr>
          </w:p>
        </w:tc>
        <w:tc>
          <w:tcPr>
            <w:tcW w:w="0" w:type="auto"/>
            <w:tcBorders>
              <w:top w:val="single" w:sz="8" w:space="0" w:color="4F2D7F"/>
              <w:left w:val="nil"/>
              <w:bottom w:val="single" w:sz="8" w:space="0" w:color="4F2D7F"/>
              <w:right w:val="nil"/>
            </w:tcBorders>
            <w:tcMar>
              <w:top w:w="85" w:type="dxa"/>
              <w:left w:w="85" w:type="dxa"/>
              <w:bottom w:w="85" w:type="dxa"/>
              <w:right w:w="85" w:type="dxa"/>
            </w:tcMar>
          </w:tcPr>
          <w:p w14:paraId="1A16C137" w14:textId="38001D07" w:rsidR="00F56234" w:rsidRPr="00FB6182" w:rsidRDefault="00F56234" w:rsidP="002F6C84">
            <w:pPr>
              <w:jc w:val="center"/>
              <w:rPr>
                <w:rFonts w:cs="Arial"/>
                <w:sz w:val="20"/>
                <w:szCs w:val="20"/>
                <w:lang w:val="en-US" w:eastAsia="en-GB"/>
              </w:rPr>
            </w:pPr>
            <w:r>
              <w:rPr>
                <w:rFonts w:cs="Arial"/>
                <w:sz w:val="20"/>
                <w:szCs w:val="20"/>
                <w:lang w:val="en-US" w:eastAsia="en-GB"/>
              </w:rPr>
              <w:t>£40</w:t>
            </w:r>
          </w:p>
        </w:tc>
        <w:tc>
          <w:tcPr>
            <w:tcW w:w="0" w:type="auto"/>
            <w:tcBorders>
              <w:top w:val="single" w:sz="8" w:space="0" w:color="4F2D7F"/>
              <w:left w:val="nil"/>
              <w:bottom w:val="single" w:sz="8" w:space="0" w:color="4F2D7F"/>
              <w:right w:val="nil"/>
            </w:tcBorders>
            <w:tcMar>
              <w:top w:w="85" w:type="dxa"/>
              <w:left w:w="85" w:type="dxa"/>
              <w:bottom w:w="85" w:type="dxa"/>
              <w:right w:w="85" w:type="dxa"/>
            </w:tcMar>
          </w:tcPr>
          <w:p w14:paraId="75FF20A9" w14:textId="77777777" w:rsidR="00F56234" w:rsidRPr="00FB6182" w:rsidRDefault="00F56234" w:rsidP="002F6C84">
            <w:pPr>
              <w:rPr>
                <w:rFonts w:cs="Arial"/>
                <w:sz w:val="20"/>
                <w:szCs w:val="20"/>
                <w:lang w:eastAsia="en-GB"/>
              </w:rPr>
            </w:pPr>
            <w:r w:rsidRPr="00FB6182">
              <w:rPr>
                <w:rFonts w:cs="Arial"/>
                <w:sz w:val="20"/>
                <w:szCs w:val="20"/>
                <w:lang w:eastAsia="en-GB"/>
              </w:rPr>
              <w:t>Not material</w:t>
            </w:r>
          </w:p>
        </w:tc>
      </w:tr>
      <w:tr w:rsidR="00F56234" w:rsidRPr="00FB6182" w14:paraId="2B60491E" w14:textId="77777777" w:rsidTr="002F6C84">
        <w:tc>
          <w:tcPr>
            <w:tcW w:w="0" w:type="auto"/>
            <w:tcBorders>
              <w:top w:val="single" w:sz="8" w:space="0" w:color="4F2D7F"/>
              <w:left w:val="nil"/>
              <w:bottom w:val="single" w:sz="8" w:space="0" w:color="4F2D7F"/>
              <w:right w:val="nil"/>
            </w:tcBorders>
            <w:tcMar>
              <w:top w:w="85" w:type="dxa"/>
              <w:left w:w="15" w:type="dxa"/>
              <w:bottom w:w="85" w:type="dxa"/>
              <w:right w:w="85" w:type="dxa"/>
            </w:tcMar>
          </w:tcPr>
          <w:p w14:paraId="07E4CB3F" w14:textId="77777777" w:rsidR="00F56234" w:rsidRPr="00FB6182" w:rsidRDefault="00F56234" w:rsidP="002F6C84">
            <w:pPr>
              <w:rPr>
                <w:rFonts w:cs="Arial"/>
                <w:color w:val="000000"/>
                <w:kern w:val="24"/>
                <w:sz w:val="20"/>
                <w:szCs w:val="20"/>
                <w:lang w:eastAsia="en-GB"/>
              </w:rPr>
            </w:pPr>
          </w:p>
        </w:tc>
        <w:tc>
          <w:tcPr>
            <w:tcW w:w="2343" w:type="dxa"/>
            <w:tcBorders>
              <w:top w:val="single" w:sz="8" w:space="0" w:color="4F2D7F"/>
              <w:left w:val="nil"/>
              <w:bottom w:val="single" w:sz="8" w:space="0" w:color="4F2D7F"/>
              <w:right w:val="nil"/>
            </w:tcBorders>
            <w:tcMar>
              <w:top w:w="85" w:type="dxa"/>
              <w:left w:w="85" w:type="dxa"/>
              <w:bottom w:w="85" w:type="dxa"/>
              <w:right w:w="85" w:type="dxa"/>
            </w:tcMar>
          </w:tcPr>
          <w:p w14:paraId="6F55ED07" w14:textId="77777777" w:rsidR="00F56234" w:rsidRPr="00FB6182" w:rsidRDefault="00F56234" w:rsidP="002F6C84">
            <w:pPr>
              <w:jc w:val="center"/>
              <w:rPr>
                <w:rFonts w:cs="Arial"/>
                <w:sz w:val="20"/>
                <w:szCs w:val="20"/>
                <w:lang w:eastAsia="en-GB"/>
              </w:rPr>
            </w:pPr>
          </w:p>
        </w:tc>
        <w:tc>
          <w:tcPr>
            <w:tcW w:w="2362" w:type="dxa"/>
            <w:tcBorders>
              <w:top w:val="single" w:sz="8" w:space="0" w:color="4F2D7F"/>
              <w:left w:val="nil"/>
              <w:bottom w:val="single" w:sz="8" w:space="0" w:color="4F2D7F"/>
              <w:right w:val="nil"/>
            </w:tcBorders>
            <w:tcMar>
              <w:top w:w="85" w:type="dxa"/>
              <w:left w:w="85" w:type="dxa"/>
              <w:bottom w:w="85" w:type="dxa"/>
              <w:right w:w="85" w:type="dxa"/>
            </w:tcMar>
          </w:tcPr>
          <w:p w14:paraId="4E7307C6" w14:textId="77777777" w:rsidR="00F56234" w:rsidRPr="00FB6182" w:rsidRDefault="00F56234" w:rsidP="002F6C84">
            <w:pPr>
              <w:jc w:val="center"/>
              <w:rPr>
                <w:rFonts w:cs="Arial"/>
                <w:sz w:val="20"/>
                <w:szCs w:val="20"/>
                <w:lang w:eastAsia="en-GB"/>
              </w:rPr>
            </w:pPr>
          </w:p>
        </w:tc>
        <w:tc>
          <w:tcPr>
            <w:tcW w:w="0" w:type="auto"/>
            <w:tcBorders>
              <w:top w:val="single" w:sz="8" w:space="0" w:color="4F2D7F"/>
              <w:left w:val="nil"/>
              <w:bottom w:val="single" w:sz="8" w:space="0" w:color="4F2D7F"/>
              <w:right w:val="nil"/>
            </w:tcBorders>
            <w:tcMar>
              <w:top w:w="85" w:type="dxa"/>
              <w:left w:w="85" w:type="dxa"/>
              <w:bottom w:w="85" w:type="dxa"/>
              <w:right w:w="85" w:type="dxa"/>
            </w:tcMar>
          </w:tcPr>
          <w:p w14:paraId="2DFE15DE" w14:textId="77777777" w:rsidR="00F56234" w:rsidRPr="00FB6182" w:rsidRDefault="00F56234" w:rsidP="002F6C84">
            <w:pPr>
              <w:jc w:val="center"/>
              <w:rPr>
                <w:rFonts w:cs="Arial"/>
                <w:sz w:val="20"/>
                <w:szCs w:val="20"/>
                <w:lang w:eastAsia="en-GB"/>
              </w:rPr>
            </w:pPr>
          </w:p>
        </w:tc>
        <w:tc>
          <w:tcPr>
            <w:tcW w:w="0" w:type="auto"/>
            <w:tcBorders>
              <w:top w:val="single" w:sz="8" w:space="0" w:color="4F2D7F"/>
              <w:left w:val="nil"/>
              <w:bottom w:val="single" w:sz="8" w:space="0" w:color="4F2D7F"/>
              <w:right w:val="nil"/>
            </w:tcBorders>
            <w:tcMar>
              <w:top w:w="85" w:type="dxa"/>
              <w:left w:w="85" w:type="dxa"/>
              <w:bottom w:w="85" w:type="dxa"/>
              <w:right w:w="85" w:type="dxa"/>
            </w:tcMar>
          </w:tcPr>
          <w:p w14:paraId="07999E73" w14:textId="77777777" w:rsidR="00F56234" w:rsidRPr="00FB6182" w:rsidRDefault="00F56234" w:rsidP="002F6C84">
            <w:pPr>
              <w:rPr>
                <w:rFonts w:cs="Arial"/>
                <w:color w:val="000000"/>
                <w:sz w:val="20"/>
                <w:szCs w:val="20"/>
                <w:lang w:eastAsia="en-GB"/>
              </w:rPr>
            </w:pPr>
          </w:p>
        </w:tc>
      </w:tr>
      <w:tr w:rsidR="00F56234" w:rsidRPr="00FB6182" w14:paraId="61239292" w14:textId="77777777" w:rsidTr="002F6C84">
        <w:tc>
          <w:tcPr>
            <w:tcW w:w="0" w:type="auto"/>
            <w:tcBorders>
              <w:top w:val="single" w:sz="8" w:space="0" w:color="4F2D7F"/>
              <w:left w:val="nil"/>
              <w:bottom w:val="single" w:sz="4" w:space="0" w:color="000000"/>
              <w:right w:val="nil"/>
            </w:tcBorders>
            <w:tcMar>
              <w:top w:w="85" w:type="dxa"/>
              <w:left w:w="15" w:type="dxa"/>
              <w:bottom w:w="85" w:type="dxa"/>
              <w:right w:w="85" w:type="dxa"/>
            </w:tcMar>
            <w:hideMark/>
          </w:tcPr>
          <w:p w14:paraId="27E1C53D" w14:textId="77777777" w:rsidR="00F56234" w:rsidRPr="00FB6182" w:rsidRDefault="00F56234" w:rsidP="002F6C84">
            <w:pPr>
              <w:spacing w:after="80"/>
              <w:rPr>
                <w:rFonts w:cs="Arial"/>
                <w:b/>
                <w:bCs/>
                <w:color w:val="000000"/>
                <w:kern w:val="24"/>
                <w:sz w:val="20"/>
                <w:szCs w:val="20"/>
                <w:lang w:val="en-US" w:eastAsia="en-GB"/>
              </w:rPr>
            </w:pPr>
            <w:r w:rsidRPr="00FB6182">
              <w:rPr>
                <w:rFonts w:cs="Arial"/>
                <w:b/>
                <w:bCs/>
                <w:color w:val="000000"/>
                <w:kern w:val="24"/>
                <w:sz w:val="20"/>
                <w:szCs w:val="20"/>
                <w:lang w:eastAsia="en-GB"/>
              </w:rPr>
              <w:t>Overall impact</w:t>
            </w:r>
          </w:p>
        </w:tc>
        <w:tc>
          <w:tcPr>
            <w:tcW w:w="2343" w:type="dxa"/>
            <w:tcBorders>
              <w:top w:val="single" w:sz="8" w:space="0" w:color="4F2D7F"/>
              <w:left w:val="nil"/>
              <w:bottom w:val="single" w:sz="4" w:space="0" w:color="000000"/>
              <w:right w:val="nil"/>
            </w:tcBorders>
            <w:tcMar>
              <w:top w:w="85" w:type="dxa"/>
              <w:left w:w="85" w:type="dxa"/>
              <w:bottom w:w="85" w:type="dxa"/>
              <w:right w:w="85" w:type="dxa"/>
            </w:tcMar>
          </w:tcPr>
          <w:p w14:paraId="1B5877A0" w14:textId="4D3ABE4B" w:rsidR="00F56234" w:rsidRPr="00FB6182" w:rsidRDefault="00F56234" w:rsidP="002F6C84">
            <w:pPr>
              <w:spacing w:before="80" w:after="80"/>
              <w:jc w:val="right"/>
              <w:rPr>
                <w:rFonts w:cs="Arial"/>
                <w:sz w:val="20"/>
                <w:szCs w:val="20"/>
                <w:lang w:val="en-US" w:eastAsia="en-GB"/>
              </w:rPr>
            </w:pPr>
            <w:r>
              <w:rPr>
                <w:rFonts w:cs="Arial"/>
                <w:sz w:val="20"/>
                <w:szCs w:val="20"/>
                <w:lang w:val="en-US" w:eastAsia="en-GB"/>
              </w:rPr>
              <w:t>£40</w:t>
            </w:r>
          </w:p>
        </w:tc>
        <w:tc>
          <w:tcPr>
            <w:tcW w:w="2362" w:type="dxa"/>
            <w:tcBorders>
              <w:top w:val="single" w:sz="8" w:space="0" w:color="4F2D7F"/>
              <w:left w:val="nil"/>
              <w:bottom w:val="single" w:sz="4" w:space="0" w:color="000000"/>
              <w:right w:val="nil"/>
            </w:tcBorders>
            <w:tcMar>
              <w:top w:w="85" w:type="dxa"/>
              <w:left w:w="85" w:type="dxa"/>
              <w:bottom w:w="85" w:type="dxa"/>
              <w:right w:w="85" w:type="dxa"/>
            </w:tcMar>
          </w:tcPr>
          <w:p w14:paraId="2BF1ED06" w14:textId="15F209AB" w:rsidR="00F56234" w:rsidRPr="00FB6182" w:rsidRDefault="00F56234" w:rsidP="002F6C84">
            <w:pPr>
              <w:spacing w:before="80" w:after="80"/>
              <w:jc w:val="right"/>
              <w:rPr>
                <w:rFonts w:cs="Arial"/>
                <w:sz w:val="20"/>
                <w:szCs w:val="20"/>
                <w:lang w:val="en-US" w:eastAsia="en-GB"/>
              </w:rPr>
            </w:pPr>
            <w:r>
              <w:rPr>
                <w:rFonts w:cs="Arial"/>
                <w:sz w:val="20"/>
                <w:szCs w:val="20"/>
                <w:lang w:val="en-US" w:eastAsia="en-GB"/>
              </w:rPr>
              <w:t>(£40)</w:t>
            </w:r>
          </w:p>
        </w:tc>
        <w:tc>
          <w:tcPr>
            <w:tcW w:w="0" w:type="auto"/>
            <w:tcBorders>
              <w:top w:val="single" w:sz="8" w:space="0" w:color="4F2D7F"/>
              <w:left w:val="nil"/>
              <w:bottom w:val="single" w:sz="4" w:space="0" w:color="000000"/>
              <w:right w:val="nil"/>
            </w:tcBorders>
            <w:tcMar>
              <w:top w:w="85" w:type="dxa"/>
              <w:left w:w="85" w:type="dxa"/>
              <w:bottom w:w="85" w:type="dxa"/>
              <w:right w:w="85" w:type="dxa"/>
            </w:tcMar>
          </w:tcPr>
          <w:p w14:paraId="7B1EC5FC" w14:textId="648D25DA" w:rsidR="00F56234" w:rsidRPr="00FB6182" w:rsidRDefault="00F56234" w:rsidP="002F6C84">
            <w:pPr>
              <w:spacing w:before="80" w:after="80"/>
              <w:jc w:val="right"/>
              <w:rPr>
                <w:rFonts w:cs="Arial"/>
                <w:sz w:val="20"/>
                <w:szCs w:val="20"/>
                <w:lang w:val="en-US" w:eastAsia="en-GB"/>
              </w:rPr>
            </w:pPr>
            <w:r>
              <w:rPr>
                <w:rFonts w:cs="Arial"/>
                <w:sz w:val="20"/>
                <w:szCs w:val="20"/>
                <w:lang w:val="en-US" w:eastAsia="en-GB"/>
              </w:rPr>
              <w:t>£40</w:t>
            </w:r>
          </w:p>
        </w:tc>
        <w:tc>
          <w:tcPr>
            <w:tcW w:w="0" w:type="auto"/>
            <w:tcBorders>
              <w:top w:val="single" w:sz="8" w:space="0" w:color="4F2D7F"/>
              <w:left w:val="nil"/>
              <w:bottom w:val="single" w:sz="4" w:space="0" w:color="000000"/>
              <w:right w:val="nil"/>
            </w:tcBorders>
            <w:tcMar>
              <w:top w:w="85" w:type="dxa"/>
              <w:left w:w="85" w:type="dxa"/>
              <w:bottom w:w="85" w:type="dxa"/>
              <w:right w:w="85" w:type="dxa"/>
            </w:tcMar>
          </w:tcPr>
          <w:p w14:paraId="669E4756" w14:textId="77777777" w:rsidR="00F56234" w:rsidRPr="00FB6182" w:rsidRDefault="00F56234" w:rsidP="002F6C84">
            <w:pPr>
              <w:pStyle w:val="ListParagraph"/>
              <w:spacing w:after="80"/>
              <w:rPr>
                <w:rFonts w:ascii="Arial" w:hAnsi="Arial" w:cs="Arial"/>
                <w:color w:val="000000"/>
                <w:sz w:val="20"/>
                <w:szCs w:val="20"/>
                <w:lang w:val="en-US" w:eastAsia="en-GB"/>
              </w:rPr>
            </w:pPr>
          </w:p>
        </w:tc>
      </w:tr>
    </w:tbl>
    <w:p w14:paraId="2CBACD32" w14:textId="77777777" w:rsidR="00F56234" w:rsidRPr="001D240D" w:rsidRDefault="00F56234" w:rsidP="00F56234">
      <w:pPr>
        <w:pStyle w:val="BodyText"/>
        <w:rPr>
          <w:rFonts w:ascii="Arial" w:hAnsi="Arial" w:cs="Arial"/>
          <w:color w:val="FF0000"/>
          <w:sz w:val="22"/>
          <w:szCs w:val="22"/>
        </w:rPr>
      </w:pPr>
    </w:p>
    <w:p w14:paraId="155ECF0F" w14:textId="77777777" w:rsidR="00F56234" w:rsidRPr="001D240D" w:rsidRDefault="00F56234" w:rsidP="00F56234">
      <w:pPr>
        <w:pStyle w:val="BodyText"/>
        <w:rPr>
          <w:rFonts w:ascii="Arial" w:hAnsi="Arial" w:cs="Arial"/>
          <w:color w:val="FF0000"/>
          <w:sz w:val="22"/>
          <w:szCs w:val="22"/>
        </w:rPr>
      </w:pPr>
    </w:p>
    <w:p w14:paraId="380A159E" w14:textId="2C624A37" w:rsidR="00130A66" w:rsidRPr="00130A66" w:rsidRDefault="00130A66" w:rsidP="00130A66">
      <w:pPr>
        <w:pStyle w:val="BodyText"/>
        <w:rPr>
          <w:rFonts w:ascii="Arial" w:hAnsi="Arial" w:cs="Arial"/>
          <w:color w:val="FF0000"/>
          <w:sz w:val="22"/>
          <w:szCs w:val="22"/>
        </w:rPr>
      </w:pPr>
    </w:p>
    <w:p w14:paraId="75EC1A4C" w14:textId="77777777" w:rsidR="00130A66" w:rsidRPr="00130A66" w:rsidRDefault="00130A66" w:rsidP="00130A66">
      <w:pPr>
        <w:pStyle w:val="BodyText"/>
        <w:rPr>
          <w:rFonts w:ascii="Arial" w:hAnsi="Arial" w:cs="Arial"/>
          <w:color w:val="FF0000"/>
          <w:sz w:val="22"/>
          <w:szCs w:val="22"/>
        </w:rPr>
      </w:pPr>
    </w:p>
    <w:p w14:paraId="7DB9D5E2" w14:textId="77777777" w:rsidR="00130A66" w:rsidRPr="00130A66" w:rsidRDefault="00130A66" w:rsidP="00130A66">
      <w:pPr>
        <w:pStyle w:val="BodyText"/>
        <w:rPr>
          <w:rFonts w:ascii="Arial" w:hAnsi="Arial" w:cs="Arial"/>
          <w:color w:val="FF0000"/>
          <w:sz w:val="22"/>
          <w:szCs w:val="22"/>
        </w:rPr>
      </w:pPr>
    </w:p>
    <w:sectPr w:rsidR="00130A66" w:rsidRPr="00130A66" w:rsidSect="00852049">
      <w:headerReference w:type="even" r:id="rId9"/>
      <w:headerReference w:type="default" r:id="rId10"/>
      <w:footerReference w:type="even" r:id="rId11"/>
      <w:footerReference w:type="default" r:id="rId12"/>
      <w:headerReference w:type="first" r:id="rId13"/>
      <w:footerReference w:type="first" r:id="rId14"/>
      <w:pgSz w:w="11906" w:h="16838"/>
      <w:pgMar w:top="767" w:right="968" w:bottom="872" w:left="87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DE7C" w14:textId="77777777" w:rsidR="00045D00" w:rsidRDefault="00045D00" w:rsidP="009A3BE8">
      <w:r>
        <w:separator/>
      </w:r>
    </w:p>
  </w:endnote>
  <w:endnote w:type="continuationSeparator" w:id="0">
    <w:p w14:paraId="0CE680CB" w14:textId="77777777" w:rsidR="00045D00" w:rsidRDefault="00045D00" w:rsidP="009A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67EB" w14:textId="77777777" w:rsidR="003A43A7" w:rsidRDefault="003A4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C5C6" w14:textId="77777777" w:rsidR="003A43A7" w:rsidRDefault="003A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FCF" w14:textId="77777777" w:rsidR="003A43A7" w:rsidRDefault="003A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A1313" w14:textId="77777777" w:rsidR="00045D00" w:rsidRDefault="00045D00" w:rsidP="009A3BE8">
      <w:r>
        <w:separator/>
      </w:r>
    </w:p>
  </w:footnote>
  <w:footnote w:type="continuationSeparator" w:id="0">
    <w:p w14:paraId="061F3CED" w14:textId="77777777" w:rsidR="00045D00" w:rsidRDefault="00045D00" w:rsidP="009A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91D3" w14:textId="1F42E664" w:rsidR="003A43A7" w:rsidRDefault="003A43A7">
    <w:pPr>
      <w:pStyle w:val="Header"/>
    </w:pPr>
    <w:r>
      <w:rPr>
        <w:noProof/>
      </w:rPr>
      <w:pict w14:anchorId="0759E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3282" o:spid="_x0000_s18434" type="#_x0000_t136" style="position:absolute;margin-left:0;margin-top:0;width:443.45pt;height:266.05pt;rotation:315;z-index:-251655168;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FE0A" w14:textId="5482C5D3" w:rsidR="009A3BE8" w:rsidRDefault="003A43A7" w:rsidP="009A3BE8">
    <w:pPr>
      <w:pStyle w:val="Header"/>
      <w:ind w:left="-851" w:right="-968"/>
    </w:pPr>
    <w:r>
      <w:rPr>
        <w:noProof/>
      </w:rPr>
      <w:pict w14:anchorId="47B06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3283" o:spid="_x0000_s18435" type="#_x0000_t136" style="position:absolute;left:0;text-align:left;margin-left:0;margin-top:0;width:443.45pt;height:266.05pt;rotation:315;z-index:-251653120;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8D2B" w14:textId="5D5FF558" w:rsidR="003A43A7" w:rsidRDefault="003A43A7">
    <w:pPr>
      <w:pStyle w:val="Header"/>
    </w:pPr>
    <w:r>
      <w:rPr>
        <w:noProof/>
      </w:rPr>
      <w:pict w14:anchorId="2EE33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3281" o:spid="_x0000_s18433" type="#_x0000_t136" style="position:absolute;margin-left:0;margin-top:0;width:443.45pt;height:266.05pt;rotation:315;z-index:-251657216;mso-position-horizontal:center;mso-position-horizontal-relative:margin;mso-position-vertical:center;mso-position-vertical-relative:margin" o:allowincell="f" fillcolor="#747070 [1614]"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207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3A03"/>
    <w:multiLevelType w:val="hybridMultilevel"/>
    <w:tmpl w:val="707814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20A97"/>
    <w:multiLevelType w:val="hybridMultilevel"/>
    <w:tmpl w:val="E52C4C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9693B9F"/>
    <w:multiLevelType w:val="hybridMultilevel"/>
    <w:tmpl w:val="D7D0CB3A"/>
    <w:lvl w:ilvl="0" w:tplc="10DC3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17883"/>
    <w:multiLevelType w:val="hybridMultilevel"/>
    <w:tmpl w:val="F83476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3C90522"/>
    <w:multiLevelType w:val="hybridMultilevel"/>
    <w:tmpl w:val="0E6C96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31303B"/>
    <w:multiLevelType w:val="hybridMultilevel"/>
    <w:tmpl w:val="2A2A0E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F6F0F"/>
    <w:multiLevelType w:val="hybridMultilevel"/>
    <w:tmpl w:val="C868DF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3C05680"/>
    <w:multiLevelType w:val="hybridMultilevel"/>
    <w:tmpl w:val="65B8E4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5"/>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18"/>
    <w:rsid w:val="000134B0"/>
    <w:rsid w:val="00017C3C"/>
    <w:rsid w:val="00045D00"/>
    <w:rsid w:val="000A70D4"/>
    <w:rsid w:val="000D4E47"/>
    <w:rsid w:val="00130A66"/>
    <w:rsid w:val="00170025"/>
    <w:rsid w:val="001A0B9C"/>
    <w:rsid w:val="00215B18"/>
    <w:rsid w:val="00216E45"/>
    <w:rsid w:val="00232643"/>
    <w:rsid w:val="003A43A7"/>
    <w:rsid w:val="00423439"/>
    <w:rsid w:val="0042732C"/>
    <w:rsid w:val="004D3B5D"/>
    <w:rsid w:val="004F1F91"/>
    <w:rsid w:val="00630DAA"/>
    <w:rsid w:val="006538AF"/>
    <w:rsid w:val="00754F09"/>
    <w:rsid w:val="0076116B"/>
    <w:rsid w:val="00772448"/>
    <w:rsid w:val="0083208A"/>
    <w:rsid w:val="00852049"/>
    <w:rsid w:val="00891011"/>
    <w:rsid w:val="00893196"/>
    <w:rsid w:val="008C203F"/>
    <w:rsid w:val="008D3BAE"/>
    <w:rsid w:val="009279BB"/>
    <w:rsid w:val="00947A60"/>
    <w:rsid w:val="009A3BE8"/>
    <w:rsid w:val="00AB655F"/>
    <w:rsid w:val="00AC2F94"/>
    <w:rsid w:val="00AE1D40"/>
    <w:rsid w:val="00B31F88"/>
    <w:rsid w:val="00B8028A"/>
    <w:rsid w:val="00B97FC1"/>
    <w:rsid w:val="00BB357B"/>
    <w:rsid w:val="00BC5794"/>
    <w:rsid w:val="00C02B07"/>
    <w:rsid w:val="00C44FDF"/>
    <w:rsid w:val="00C878E1"/>
    <w:rsid w:val="00CB6CC6"/>
    <w:rsid w:val="00D024F9"/>
    <w:rsid w:val="00D8450A"/>
    <w:rsid w:val="00DB77CD"/>
    <w:rsid w:val="00E568F9"/>
    <w:rsid w:val="00E7721B"/>
    <w:rsid w:val="00E85ECA"/>
    <w:rsid w:val="00F5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42DAC46B"/>
  <w15:chartTrackingRefBased/>
  <w15:docId w15:val="{1A75C924-76AA-274A-A34C-4857603A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30A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15B18"/>
    <w:pPr>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215B18"/>
    <w:pPr>
      <w:numPr>
        <w:numId w:val="1"/>
      </w:numPr>
      <w:contextualSpacing/>
    </w:pPr>
  </w:style>
  <w:style w:type="paragraph" w:styleId="Header">
    <w:name w:val="header"/>
    <w:basedOn w:val="Normal"/>
    <w:link w:val="HeaderChar"/>
    <w:unhideWhenUsed/>
    <w:rsid w:val="009A3BE8"/>
    <w:pPr>
      <w:tabs>
        <w:tab w:val="center" w:pos="4513"/>
        <w:tab w:val="right" w:pos="9026"/>
      </w:tabs>
    </w:pPr>
  </w:style>
  <w:style w:type="character" w:customStyle="1" w:styleId="HeaderChar">
    <w:name w:val="Header Char"/>
    <w:basedOn w:val="DefaultParagraphFont"/>
    <w:link w:val="Header"/>
    <w:rsid w:val="009A3BE8"/>
  </w:style>
  <w:style w:type="paragraph" w:styleId="Footer">
    <w:name w:val="footer"/>
    <w:basedOn w:val="Normal"/>
    <w:link w:val="FooterChar"/>
    <w:uiPriority w:val="99"/>
    <w:unhideWhenUsed/>
    <w:rsid w:val="009A3BE8"/>
    <w:pPr>
      <w:tabs>
        <w:tab w:val="center" w:pos="4513"/>
        <w:tab w:val="right" w:pos="9026"/>
      </w:tabs>
    </w:pPr>
  </w:style>
  <w:style w:type="character" w:customStyle="1" w:styleId="FooterChar">
    <w:name w:val="Footer Char"/>
    <w:basedOn w:val="DefaultParagraphFont"/>
    <w:link w:val="Footer"/>
    <w:uiPriority w:val="99"/>
    <w:rsid w:val="009A3BE8"/>
  </w:style>
  <w:style w:type="paragraph" w:styleId="BalloonText">
    <w:name w:val="Balloon Text"/>
    <w:basedOn w:val="Normal"/>
    <w:link w:val="BalloonTextChar"/>
    <w:uiPriority w:val="99"/>
    <w:semiHidden/>
    <w:unhideWhenUsed/>
    <w:rsid w:val="00D84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0A"/>
    <w:rPr>
      <w:rFonts w:ascii="Segoe UI" w:hAnsi="Segoe UI" w:cs="Segoe UI"/>
      <w:sz w:val="18"/>
      <w:szCs w:val="18"/>
    </w:rPr>
  </w:style>
  <w:style w:type="table" w:styleId="TableGrid">
    <w:name w:val="Table Grid"/>
    <w:basedOn w:val="TableNormal"/>
    <w:uiPriority w:val="39"/>
    <w:rsid w:val="00D8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50A"/>
    <w:rPr>
      <w:color w:val="0000FF"/>
      <w:u w:val="single"/>
    </w:rPr>
  </w:style>
  <w:style w:type="paragraph" w:styleId="NormalWeb">
    <w:name w:val="Normal (Web)"/>
    <w:basedOn w:val="Normal"/>
    <w:uiPriority w:val="99"/>
    <w:unhideWhenUsed/>
    <w:rsid w:val="00E568F9"/>
    <w:pPr>
      <w:spacing w:before="100" w:beforeAutospacing="1" w:after="100" w:afterAutospacing="1"/>
    </w:pPr>
    <w:rPr>
      <w:rFonts w:ascii="Calibri" w:hAnsi="Calibri" w:cs="Calibri"/>
      <w:sz w:val="22"/>
      <w:szCs w:val="22"/>
      <w:lang w:eastAsia="en-GB"/>
    </w:rPr>
  </w:style>
  <w:style w:type="character" w:styleId="UnresolvedMention">
    <w:name w:val="Unresolved Mention"/>
    <w:basedOn w:val="DefaultParagraphFont"/>
    <w:uiPriority w:val="99"/>
    <w:rsid w:val="00947A60"/>
    <w:rPr>
      <w:color w:val="605E5C"/>
      <w:shd w:val="clear" w:color="auto" w:fill="E1DFDD"/>
    </w:rPr>
  </w:style>
  <w:style w:type="paragraph" w:customStyle="1" w:styleId="Default">
    <w:name w:val="Default"/>
    <w:rsid w:val="000D4E47"/>
    <w:pPr>
      <w:autoSpaceDE w:val="0"/>
      <w:autoSpaceDN w:val="0"/>
      <w:adjustRightInd w:val="0"/>
    </w:pPr>
    <w:rPr>
      <w:rFonts w:ascii="Arial" w:hAnsi="Arial" w:cs="Arial"/>
      <w:color w:val="000000"/>
    </w:rPr>
  </w:style>
  <w:style w:type="paragraph" w:styleId="ListParagraph">
    <w:name w:val="List Paragraph"/>
    <w:basedOn w:val="Normal"/>
    <w:uiPriority w:val="34"/>
    <w:qFormat/>
    <w:rsid w:val="00B97FC1"/>
    <w:pPr>
      <w:ind w:left="720"/>
      <w:contextualSpacing/>
    </w:pPr>
  </w:style>
  <w:style w:type="paragraph" w:styleId="BodyText">
    <w:name w:val="Body Text"/>
    <w:basedOn w:val="Normal"/>
    <w:link w:val="BodyTextChar"/>
    <w:semiHidden/>
    <w:unhideWhenUsed/>
    <w:qFormat/>
    <w:rsid w:val="00130A66"/>
    <w:pPr>
      <w:spacing w:after="120" w:line="240" w:lineRule="atLeast"/>
    </w:pPr>
    <w:rPr>
      <w:rFonts w:eastAsia="Times New Roman" w:cs="Times New Roman"/>
      <w:sz w:val="18"/>
      <w:szCs w:val="18"/>
    </w:rPr>
  </w:style>
  <w:style w:type="character" w:customStyle="1" w:styleId="BodyTextChar">
    <w:name w:val="Body Text Char"/>
    <w:basedOn w:val="DefaultParagraphFont"/>
    <w:link w:val="BodyText"/>
    <w:semiHidden/>
    <w:rsid w:val="00130A66"/>
    <w:rPr>
      <w:rFonts w:eastAsia="Times New Roman" w:cs="Times New Roman"/>
      <w:sz w:val="18"/>
      <w:szCs w:val="18"/>
    </w:rPr>
  </w:style>
  <w:style w:type="paragraph" w:customStyle="1" w:styleId="LetterSubHeading1">
    <w:name w:val="Letter Sub Heading 1"/>
    <w:basedOn w:val="Heading3"/>
    <w:next w:val="BodyText"/>
    <w:uiPriority w:val="1"/>
    <w:qFormat/>
    <w:rsid w:val="00130A66"/>
    <w:pPr>
      <w:keepLines w:val="0"/>
      <w:spacing w:before="240" w:after="120" w:line="240" w:lineRule="atLeast"/>
    </w:pPr>
    <w:rPr>
      <w:rFonts w:asciiTheme="minorHAnsi" w:eastAsia="Times New Roman" w:hAnsiTheme="minorHAnsi" w:cstheme="minorHAnsi"/>
      <w:b/>
      <w:bCs/>
      <w:color w:val="4472C4" w:themeColor="accent1"/>
      <w:kern w:val="32"/>
      <w:sz w:val="18"/>
      <w:szCs w:val="18"/>
    </w:rPr>
  </w:style>
  <w:style w:type="paragraph" w:customStyle="1" w:styleId="LetterSubHeading1Black">
    <w:name w:val="Letter Sub Heading 1 Black"/>
    <w:basedOn w:val="LetterSubHeading1"/>
    <w:next w:val="BodyText"/>
    <w:uiPriority w:val="1"/>
    <w:qFormat/>
    <w:rsid w:val="00130A66"/>
    <w:rPr>
      <w:color w:val="000000" w:themeColor="text1"/>
    </w:rPr>
  </w:style>
  <w:style w:type="character" w:customStyle="1" w:styleId="Heading3Char">
    <w:name w:val="Heading 3 Char"/>
    <w:basedOn w:val="DefaultParagraphFont"/>
    <w:link w:val="Heading3"/>
    <w:uiPriority w:val="9"/>
    <w:semiHidden/>
    <w:rsid w:val="00130A6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630434">
      <w:bodyDiv w:val="1"/>
      <w:marLeft w:val="0"/>
      <w:marRight w:val="0"/>
      <w:marTop w:val="0"/>
      <w:marBottom w:val="0"/>
      <w:divBdr>
        <w:top w:val="none" w:sz="0" w:space="0" w:color="auto"/>
        <w:left w:val="none" w:sz="0" w:space="0" w:color="auto"/>
        <w:bottom w:val="none" w:sz="0" w:space="0" w:color="auto"/>
        <w:right w:val="none" w:sz="0" w:space="0" w:color="auto"/>
      </w:divBdr>
    </w:div>
    <w:div w:id="5163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B424-CB26-485F-9C6B-B01297DC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Wilkinson</dc:creator>
  <cp:keywords/>
  <dc:description/>
  <cp:lastModifiedBy>Louise Mattinson</cp:lastModifiedBy>
  <cp:revision>7</cp:revision>
  <cp:lastPrinted>2021-01-14T12:36:00Z</cp:lastPrinted>
  <dcterms:created xsi:type="dcterms:W3CDTF">2022-11-18T15:50:00Z</dcterms:created>
  <dcterms:modified xsi:type="dcterms:W3CDTF">2022-11-21T16:48:00Z</dcterms:modified>
</cp:coreProperties>
</file>